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242"/>
      </w:tblGrid>
      <w:tr>
        <w:tc>
          <w:tcPr>
            <w:tcW w:w="3256" w:type="dxa"/>
          </w:tcPr>
          <w:p>
            <w:pPr>
              <w:jc w:val="center"/>
              <w:rPr>
                <w:sz w:val="26"/>
                <w:szCs w:val="26"/>
              </w:rPr>
            </w:pPr>
            <w:r>
              <w:rPr>
                <w:sz w:val="26"/>
                <w:szCs w:val="26"/>
              </w:rPr>
              <w:t>UBND TỈNH QUẢNG TRỊ</w:t>
            </w:r>
          </w:p>
          <w:p>
            <w:pPr>
              <w:jc w:val="center"/>
              <w:rPr>
                <w:b/>
              </w:rPr>
            </w:pPr>
            <w:r>
              <w:rPr>
                <w:b/>
                <w:sz w:val="26"/>
                <w:szCs w:val="26"/>
              </w:rPr>
              <w:t>SỞ TÀI CHÍNH</w:t>
            </w:r>
          </w:p>
          <w:p>
            <w:pPr>
              <w:spacing w:before="120"/>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582447</wp:posOffset>
                      </wp:positionH>
                      <wp:positionV relativeFrom="paragraph">
                        <wp:posOffset>57302</wp:posOffset>
                      </wp:positionV>
                      <wp:extent cx="804672"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8046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60B61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85pt,4.5pt" to="109.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" strokecolor="black [3200]" strokeweight=".5pt">
                      <v:stroke joinstyle="miter"/>
                    </v:line>
                  </w:pict>
                </mc:Fallback>
              </mc:AlternateContent>
            </w:r>
            <w:r>
              <w:t>Số:          /TTr-STC</w:t>
            </w:r>
          </w:p>
        </w:tc>
        <w:tc>
          <w:tcPr>
            <w:tcW w:w="6242" w:type="dxa"/>
          </w:tcPr>
          <w:p>
            <w:pPr>
              <w:jc w:val="center"/>
              <w:rPr>
                <w:b/>
              </w:rPr>
            </w:pPr>
            <w:r>
              <w:rPr>
                <w:b/>
              </w:rPr>
              <w:t>CỘNG HÒA XÃ HỘI CHỦ NGHĨA VIỆT NAM</w:t>
            </w:r>
          </w:p>
          <w:p>
            <w:pPr>
              <w:jc w:val="center"/>
              <w:rPr>
                <w:b/>
              </w:rPr>
            </w:pPr>
            <w:r>
              <w:rPr>
                <w:b/>
              </w:rPr>
              <w:t>Độc lập - Tự do - Hạnh phúc</w:t>
            </w:r>
          </w:p>
          <w:p>
            <w:pPr>
              <w:spacing w:before="120"/>
              <w:jc w:val="center"/>
              <w:rPr>
                <w:b/>
                <w:i/>
              </w:rPr>
            </w:pPr>
            <w:r>
              <w:rPr>
                <w:i/>
                <w:noProof/>
              </w:rPr>
              <mc:AlternateContent>
                <mc:Choice Requires="wps">
                  <w:drawing>
                    <wp:anchor distT="0" distB="0" distL="114300" distR="114300" simplePos="0" relativeHeight="251661312" behindDoc="0" locked="0" layoutInCell="1" allowOverlap="1">
                      <wp:simplePos x="0" y="0"/>
                      <wp:positionH relativeFrom="column">
                        <wp:posOffset>833120</wp:posOffset>
                      </wp:positionH>
                      <wp:positionV relativeFrom="paragraph">
                        <wp:posOffset>35255</wp:posOffset>
                      </wp:positionV>
                      <wp:extent cx="212400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10A62A"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pt,2.8pt" to="232.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FQqtQEAALcDAAAOAAAAZHJzL2Uyb0RvYy54bWysU8GOEzEMvSPxD1HudKZdhN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" strokecolor="black [3200]" strokeweight=".5pt">
                      <v:stroke joinstyle="miter"/>
                    </v:line>
                  </w:pict>
                </mc:Fallback>
              </mc:AlternateContent>
            </w:r>
            <w:r>
              <w:rPr>
                <w:i/>
              </w:rPr>
              <w:t>Quảng Trị, ngày     tháng    năm 2026</w:t>
            </w:r>
          </w:p>
        </w:tc>
      </w:tr>
    </w:tbl>
    <w:p>
      <w:r>
        <w:tab/>
      </w:r>
    </w:p>
    <w:p/>
    <w:p>
      <w:pPr>
        <w:jc w:val="center"/>
        <w:rPr>
          <w:b/>
        </w:rPr>
      </w:pPr>
      <w:r>
        <w:rPr>
          <w:b/>
        </w:rPr>
        <w:t>TỜ TRÌNH</w:t>
      </w:r>
    </w:p>
    <w:p>
      <w:pPr>
        <w:jc w:val="center"/>
        <w:rPr>
          <w:b/>
        </w:rPr>
      </w:pPr>
      <w:r>
        <w:rPr>
          <w:b/>
        </w:rPr>
        <w:t>Về dự thảo Quyết định của UBND tỉnh quy định thẩm quyền quyết định phê duyệt chủ trương và dự kiến kinh phí, chi phí thực hiện một số nhiệm vụ quy định tại Nghị định số 104/2026/NĐ-CP ngày 31/3/2026 của Chính phủ thuộc phạm vi quản lý của tỉnh Quảng Trị</w:t>
      </w:r>
    </w:p>
    <w:p>
      <w:r>
        <w:rPr>
          <w:noProof/>
        </w:rPr>
        <mc:AlternateContent>
          <mc:Choice Requires="wps">
            <w:drawing>
              <wp:anchor distT="0" distB="0" distL="114300" distR="114300" simplePos="0" relativeHeight="251663360" behindDoc="0" locked="0" layoutInCell="1" allowOverlap="1">
                <wp:simplePos x="0" y="0"/>
                <wp:positionH relativeFrom="column">
                  <wp:posOffset>2529941</wp:posOffset>
                </wp:positionH>
                <wp:positionV relativeFrom="paragraph">
                  <wp:posOffset>78587</wp:posOffset>
                </wp:positionV>
                <wp:extent cx="804672" cy="0"/>
                <wp:effectExtent l="0" t="0" r="33655" b="19050"/>
                <wp:wrapNone/>
                <wp:docPr id="4" name="Straight Connector 4"/>
                <wp:cNvGraphicFramePr/>
                <a:graphic xmlns:a="http://schemas.openxmlformats.org/drawingml/2006/main">
                  <a:graphicData uri="http://schemas.microsoft.com/office/word/2010/wordprocessingShape">
                    <wps:wsp>
                      <wps:cNvCnPr/>
                      <wps:spPr>
                        <a:xfrm>
                          <a:off x="0" y="0"/>
                          <a:ext cx="8046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0874D3"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9.2pt,6.2pt" to="262.5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" strokecolor="black [3200]" strokeweight=".5pt">
                <v:stroke joinstyle="miter"/>
              </v:line>
            </w:pict>
          </mc:Fallback>
        </mc:AlternateContent>
      </w:r>
    </w:p>
    <w:p>
      <w:pPr>
        <w:jc w:val="center"/>
      </w:pPr>
      <w:r>
        <w:t>Kính gửi: Uỷ ban nhân dân tỉnh Quảng Trị</w:t>
      </w:r>
    </w:p>
    <w:p/>
    <w:p>
      <w:pPr>
        <w:spacing w:after="120"/>
        <w:ind w:firstLine="720"/>
        <w:jc w:val="both"/>
      </w:pPr>
      <w:r>
        <w:t xml:space="preserve">Thực hiện quy định của Luật Ban hành văn bản quy phạm pháp luật số 64/2025/QH15 được sửa đổi, bổ sung một số điều theo Luật số 87/2025/QH15;  </w:t>
      </w:r>
    </w:p>
    <w:p>
      <w:pPr>
        <w:spacing w:after="120"/>
        <w:ind w:firstLine="720"/>
        <w:jc w:val="both"/>
      </w:pPr>
      <w:r>
        <w:t>Sở Tài chính kính trình UBND tỉnh dự thảo Quyết định quy định thẩm quyền quyết định phê duyệt chủ trương và dự kiến kinh phí, chi phí thực hiện một số nhiệm vụ quy định tại Nghị định số 104/2026/NĐ-CP ngày 31 tháng 3 năm 2026 của Chính phủ thuộc phạm vi quản lý của tỉnh Quảng Trị, như sau:</w:t>
      </w:r>
    </w:p>
    <w:p>
      <w:pPr>
        <w:spacing w:after="120"/>
        <w:ind w:firstLine="720"/>
        <w:jc w:val="both"/>
        <w:rPr>
          <w:b/>
        </w:rPr>
      </w:pPr>
      <w:r>
        <w:rPr>
          <w:b/>
        </w:rPr>
        <w:t>I. SỰ CẦN THIẾT BAN HÀNH QUYẾT ĐỊNH</w:t>
      </w:r>
    </w:p>
    <w:p>
      <w:pPr>
        <w:spacing w:after="120"/>
        <w:ind w:firstLine="720"/>
        <w:jc w:val="both"/>
        <w:rPr>
          <w:b/>
        </w:rPr>
      </w:pPr>
      <w:r>
        <w:rPr>
          <w:b/>
        </w:rPr>
        <w:t>1. Cơ sở chính trị, pháp lý:</w:t>
      </w:r>
    </w:p>
    <w:p>
      <w:pPr>
        <w:spacing w:after="120"/>
        <w:ind w:firstLine="720"/>
        <w:jc w:val="both"/>
      </w:pPr>
      <w:r>
        <w:t>- Luật Ban hành văn bản quy phạm pháp luật số 64/2025/QH15 được sửa đổi, bổ sung một số điều theo Luật số 87/2025/QH15;</w:t>
      </w:r>
    </w:p>
    <w:p>
      <w:pPr>
        <w:spacing w:after="120"/>
        <w:ind w:firstLine="720"/>
        <w:jc w:val="both"/>
      </w:pPr>
      <w:r>
        <w:t>- Luật Tổ chức chính quyền địa phương số 72/2025/QH15;</w:t>
      </w:r>
    </w:p>
    <w:p>
      <w:pPr>
        <w:spacing w:after="120"/>
        <w:ind w:firstLine="720"/>
        <w:jc w:val="both"/>
      </w:pPr>
      <w:r>
        <w:t>- Luật Ngân sách nhà nước số 89/2025/QH15;</w:t>
      </w:r>
    </w:p>
    <w:p>
      <w:pPr>
        <w:spacing w:after="120"/>
        <w:ind w:firstLine="720"/>
        <w:jc w:val="both"/>
      </w:pPr>
      <w:r>
        <w:t>- Ngày 31 tháng 3 năm 2026, Chính phủ ban hành Nghị định số 104/2026/NĐ-CP quy định việc lập dự toán, quản lý, sử dụng và quyết toán chi thường xuyên để thực hiện các nhiệm vụ quy định tại Điều 40 Luật Ngân sách Nhà nước, trong đó quy định như sau:</w:t>
      </w:r>
    </w:p>
    <w:p>
      <w:pPr>
        <w:spacing w:after="120"/>
        <w:ind w:firstLine="720"/>
        <w:jc w:val="both"/>
      </w:pPr>
      <w:r>
        <w:t>+ Tại khoản 3 Điều 17 (Lập dự toán kinh phí nhiệm vụ mua sắm, sửa chữa, cải tạo, nâng cấp tài sản, trang thiết bị</w:t>
      </w:r>
      <w:r>
        <w:rPr>
          <w:i/>
        </w:rPr>
        <w:t>): “Đối với nhiệm vụ mua sắm, sửa chữa, cải tạo, nâng cấp tài sản, trang thiết bị phục vụ hoạt động của các cơ quan, đơn vị thuộc phạm vi quản lý của địa phương: Ủy ban nhân dân cấp tỉnh quyết định hoặc quy định thẩm quyền quyết định phê duyệt chủ trương và dự kiến kinh phí thực hiện mua sắm, sửa chữa, cải tạo, nâng cấp tài sản, trang thiết bị bảo đảm phù hợp với tình hình thực tiễn tại địa phương”</w:t>
      </w:r>
      <w:r>
        <w:t>;</w:t>
      </w:r>
    </w:p>
    <w:p>
      <w:pPr>
        <w:spacing w:after="120"/>
        <w:ind w:firstLine="720"/>
        <w:jc w:val="both"/>
      </w:pPr>
      <w:r>
        <w:t xml:space="preserve">+ Tại điểm b khoản 2 Điều 20 (Lập dự toán kinh phí nhiệm vụ sửa chữa, cải tạo, nâng cấp, mở rộng, xây dựng mới hạng mục công trình trong các dự án đã đầu tư xây dựng): </w:t>
      </w:r>
      <w:r>
        <w:rPr>
          <w:i/>
        </w:rPr>
        <w:t>“Ủy ban nhân dân cấp tỉnh quyết định hoặc quy định thẩm quyền quyết định phê duyệt chủ trương và dự kiến chi phí thực hiện sửa chữa, cải tạo, nâng cấp, mở rộng, xây dựng mới hạng mục công trình trong các dự án đã đầu tư xây dựng của cơ quan, đơn vị thuộc phạm vi quản lý của địa phương”</w:t>
      </w:r>
      <w:r>
        <w:t>;</w:t>
      </w:r>
    </w:p>
    <w:p>
      <w:pPr>
        <w:spacing w:after="120"/>
        <w:ind w:firstLine="720"/>
        <w:jc w:val="both"/>
      </w:pPr>
      <w:r>
        <w:lastRenderedPageBreak/>
        <w:t xml:space="preserve">+ Tại điểm b khoản 2 Điều 25 (Lập dự toán hoạt động quy hoạch): </w:t>
      </w:r>
      <w:r>
        <w:rPr>
          <w:i/>
        </w:rPr>
        <w:t>“Ủy ban nhân dân cấp tỉnh quyết định hoặc quy định thẩm quyền quyết định phê duyệt dự kiến chi phí thực hiện hoạt động quy hoạch của cơ quan, đơn vị thuộc phạm vi quản lý của địa phương”</w:t>
      </w:r>
      <w:r>
        <w:t>;</w:t>
      </w:r>
    </w:p>
    <w:p>
      <w:pPr>
        <w:spacing w:after="120"/>
        <w:ind w:firstLine="720"/>
        <w:jc w:val="both"/>
      </w:pPr>
      <w:r>
        <w:t xml:space="preserve">+ Tại khoản 1 Điều 27 (Lập dự toán, phân bổ, quản lý, sử dụng và quyết toán kinh phí thực hiện nhiệm vụ thuê hàng hóa, dịch vụ): </w:t>
      </w:r>
      <w:r>
        <w:rPr>
          <w:i/>
        </w:rPr>
        <w:t>“Việc lập dự toán kinh phí thực hiện nhiệm vụ thuê hàng hóa, dịch vụ được thực hiện theo quy định tại Điều 17 Nghị định này”</w:t>
      </w:r>
      <w:r>
        <w:t>;</w:t>
      </w:r>
    </w:p>
    <w:p>
      <w:pPr>
        <w:spacing w:after="120"/>
        <w:ind w:firstLine="720"/>
        <w:jc w:val="both"/>
      </w:pPr>
      <w:r>
        <w:t xml:space="preserve">+ Tại khoản 1 Điều 29 (Hiệu lực thi hành và tổ chức thực hiện): </w:t>
      </w:r>
      <w:r>
        <w:rPr>
          <w:i/>
        </w:rPr>
        <w:t>“Nghị định này có hiệu lực thi hành kể từ ngày ký ban hành, thay thế Nghị định số 98/2025/NĐ-CP ngày 06 tháng 5 năm 2025 của Chính phủ quy định việc lập dự toán, quản lý, sử dụng và quyết toán chi thường xuyên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w:t>
      </w:r>
      <w:r>
        <w:t>.</w:t>
      </w:r>
    </w:p>
    <w:p>
      <w:pPr>
        <w:spacing w:after="120"/>
        <w:ind w:firstLine="720"/>
        <w:jc w:val="both"/>
        <w:rPr>
          <w:b/>
        </w:rPr>
      </w:pPr>
      <w:r>
        <w:rPr>
          <w:b/>
        </w:rPr>
        <w:t xml:space="preserve"> 2. Cơ sở thực tiễn:</w:t>
      </w:r>
    </w:p>
    <w:p>
      <w:pPr>
        <w:spacing w:after="120"/>
        <w:ind w:firstLine="720"/>
        <w:jc w:val="both"/>
      </w:pPr>
      <w:r>
        <w:t>Thực hiện quy định tại Nghị định số 98/2025/NĐ-CP ngày 06/5/2025 của Chính phủ quy định việc lập dự toán, quản lý, sử dụng và quyết toán chi thường xuyên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 Hội đồng nhân dân tỉnh Quảng Bình đã ban hành Nghị quyết số 95/2025/NQ-HĐND ngày 26 tháng 6 năm 2025 quy định thẩm quyền quyết định phê duyệt nhiệm vụ và dự toán kinh phí thực hiện mua sắm, sửa chữa, cải tạo, nâng cấp tài sản, trang thiết bị; chi thuê hàng hóa, dịch vụ; sửa chữa, cải tạo, nâng cấp, mở rộng, xây dựng mới hạng mục công trình trong các dự án đã đầu tư xây dựng của các cơ quan, đơn vị thuộc phạm vi quản lý của tỉnh Quảng Bình.</w:t>
      </w:r>
    </w:p>
    <w:p>
      <w:pPr>
        <w:spacing w:after="120"/>
        <w:ind w:firstLine="720"/>
        <w:jc w:val="both"/>
      </w:pPr>
      <w:r>
        <w:t>Khi thực hiện tổ chức sắp xếp đơn vị hành chính, để đảm bảo thực hiện đồng bộ, thống nhất trên địa bàn tỉnh mới, Hội đồng nhân dân tỉnh Quảng Trị mới đã ban hành Nghị quyết số 42/NQ-HĐND ngày 28/10/2025 về việc áp dụng văn bản quy phạm pháp luật do Hội đồng nhân dân tỉnh Quảng Bình (cũ) quy định thẩm quyền quyết định phê duyệt nhiệm vụ và dự toán kinh phí thực hiện mua sắm, sửa chữa, cải tạo, nâng cấp tài sản, trang thiết bị; thuê hàng hoá, dịch vụ; sửa chữa, cải tạo, nâng cấp, mở rộng, xây dựng mới hạng mục công trình trong các dự án đã đầu tư xây dựng của các cơ quan, đơn vị thuộc phạm vi quản lý của tỉnh Quảng Bình (cũ).</w:t>
      </w:r>
    </w:p>
    <w:p>
      <w:pPr>
        <w:spacing w:after="120"/>
        <w:ind w:firstLine="720"/>
        <w:jc w:val="both"/>
      </w:pPr>
      <w:r>
        <w:t xml:space="preserve">Nghị định 98/2025/NĐ-CP của Chính phủ giao Hội đồng nhân dân cấp tỉnh quyết định hoặc quy định thẩm quyền quyết định phê duyệt nhiệm vụ và dự toán kinh phí đối với mua sắm, sửa chữa, cải tạo, nâng cấp tài sản, trang thiết bị ở địa phương tại khoản 3 Điều 5 và đối với hạng mục công trình trong dự án đã đầu tư xây dựng tại điểm b khoản 2 Điều 8. Tuy nhiên, Nghị định 104/2026/NĐ-CP đã chuyển thẩm quyền này cho Ủy ban nhân dân cấp tỉnh tại khoản 3 Điều 17 và điểm b khoản 2 Điều 20, điểm b khoản 2 Điều 25, khoản 1 Điều 27; theo đó Ủy </w:t>
      </w:r>
      <w:r>
        <w:lastRenderedPageBreak/>
        <w:t>ban nhân dân cấp tỉnh quyết định hoặc quy định thẩm quyền quyết định phê duyệt nhiệm vụ từ nguồn chi thường xuyên ngân sách nhà nước bảo đảm phù hợp với tình hình thực tiễn tại địa phương đối với các nội dung:</w:t>
      </w:r>
    </w:p>
    <w:p>
      <w:pPr>
        <w:spacing w:after="120"/>
        <w:ind w:firstLine="720"/>
        <w:jc w:val="both"/>
      </w:pPr>
      <w:r>
        <w:t>- Chủ trương và dự kiến kinh phí mua sắm, sửa chữa, cải tạo, nâng cấp tài sản, trang thiết bị phục vụ hoạt động của các cơ quan, đơn vị thuộc phạm vi quản lý của địa phương (khoản 3 Điều 17).</w:t>
      </w:r>
    </w:p>
    <w:p>
      <w:pPr>
        <w:spacing w:after="120"/>
        <w:ind w:firstLine="720"/>
        <w:jc w:val="both"/>
      </w:pPr>
      <w:r>
        <w:t>- Chủ trương và dự kiến chi phí thực hiện sửa chữa, cải tạo, nâng cấp, mở rộng, xây dựng mới hạng mục công trình trong các dự án đã đầu tư xây dựng của cơ quan, đơn vị thuộc phạm vi quản lý của địa phương (điểm b khoản 2 Điều 20).</w:t>
      </w:r>
    </w:p>
    <w:p>
      <w:pPr>
        <w:spacing w:after="120"/>
        <w:ind w:firstLine="720"/>
        <w:jc w:val="both"/>
      </w:pPr>
      <w:r>
        <w:t>- Dự kiến chi phí thực hiện hoạt động quy hoạch của cơ quan, đơn vị thuộc phạm vi quản lý của địa phương (điểm b khoản 2 Điều 25).</w:t>
      </w:r>
    </w:p>
    <w:p>
      <w:pPr>
        <w:spacing w:after="120"/>
        <w:ind w:firstLine="720"/>
        <w:jc w:val="both"/>
      </w:pPr>
      <w:r>
        <w:t>- Chủ trương và dự kiến kinh phí thuê hàng hóa, dịch vụ phục vụ hoạt động của cơ quan, đơn vị thuộc phạm vi quản lý của địa phương (khoản 1 Điều 27).</w:t>
      </w:r>
    </w:p>
    <w:p>
      <w:pPr>
        <w:spacing w:after="120"/>
        <w:ind w:firstLine="720"/>
        <w:jc w:val="both"/>
      </w:pPr>
      <w:r>
        <w:t xml:space="preserve">Vì vậy, để cụ thể hoá các quy định tại Nghị định số 104/2026/NĐ-CP ngày 31/3/2026, phân định rõ thẩm quyền, trách nhiệm của các cơ quan, đơn vị, địa phương liên quan trong việc quyết định phê duyệt chủ trương và dự kiến kinh phí, đảm bảo đúng quy định của pháp luật hiện hành, tạo ra căn cứ pháp lý để việc triển khai được thống nhất, thuận lợi, hiệu quả; đẩy mạnh phân cấp, phân quyền gắn với kiểm tra, giám sát, tăng cường tính công khai, minh bạch trong quá trình tổ chức; tăng tính linh hoạt, chủ động của các cơ quan, đơn vị địa phương trong quá trình quản lý, điều hành; đảm bảo việc sử dụng ngân sách nhà nước tiết kiệm, hiệu quả, đúng mục đích và phù hợp với khả năng cân đối của ngân sách địa phương thì việc xây dựng Quyết định của UBND tỉnh về việc quy định thẩm quyền quyết định phê duyệt chủ trương và dự kiến kinh phí theo quy định tại Nghị định số 104/2026/NĐ-CP là hết sức cần thiết. </w:t>
      </w:r>
    </w:p>
    <w:p>
      <w:pPr>
        <w:spacing w:after="120"/>
        <w:ind w:firstLine="720"/>
        <w:jc w:val="both"/>
        <w:rPr>
          <w:b/>
        </w:rPr>
      </w:pPr>
      <w:r>
        <w:rPr>
          <w:b/>
        </w:rPr>
        <w:t>II. MỤC ĐÍCH BAN HÀNH, QUAN ĐIỂM XÂY DỰNG DỰ THẢO QUYẾT ĐỊNH</w:t>
      </w:r>
      <w:r>
        <w:rPr>
          <w:b/>
        </w:rPr>
        <w:tab/>
      </w:r>
    </w:p>
    <w:p>
      <w:pPr>
        <w:spacing w:after="120"/>
        <w:ind w:firstLine="720"/>
        <w:jc w:val="both"/>
        <w:rPr>
          <w:b/>
        </w:rPr>
      </w:pPr>
      <w:r>
        <w:rPr>
          <w:b/>
        </w:rPr>
        <w:t xml:space="preserve">1. Mục đích ban hành: </w:t>
      </w:r>
    </w:p>
    <w:p>
      <w:pPr>
        <w:spacing w:after="120"/>
        <w:ind w:firstLine="720"/>
        <w:jc w:val="both"/>
      </w:pPr>
      <w:r>
        <w:t>Quy định cụ thể nội dung tại khoản 3 Điều 17, điểm b khoản 2 Điều 20, điểm b khoản 2 Điều 25 và khoản 1 Điều 27 Nghị định số 104/2026/NĐ-CP để bảo đảm thực hiện thống nhất, đúng quy định pháp luật.</w:t>
      </w:r>
    </w:p>
    <w:p>
      <w:pPr>
        <w:spacing w:after="120"/>
        <w:ind w:firstLine="720"/>
        <w:jc w:val="both"/>
        <w:rPr>
          <w:b/>
        </w:rPr>
      </w:pPr>
      <w:r>
        <w:rPr>
          <w:b/>
        </w:rPr>
        <w:t xml:space="preserve">2. Quan điểm xây dựng: </w:t>
      </w:r>
    </w:p>
    <w:p>
      <w:pPr>
        <w:spacing w:after="120"/>
        <w:ind w:firstLine="720"/>
        <w:jc w:val="both"/>
      </w:pPr>
      <w:r>
        <w:t>a) Tuân thủ đúng trình tự, thủ tục theo quy định về xây dựng, ban hành văn bản quy phạm pháp luật.</w:t>
      </w:r>
    </w:p>
    <w:p>
      <w:pPr>
        <w:spacing w:after="120"/>
        <w:ind w:firstLine="720"/>
        <w:jc w:val="both"/>
      </w:pPr>
      <w:r>
        <w:t>b) Việc quy định thẩm quyền phải bảo đảm phù hợp pháp luật, đáp ứng yêu cầu về đẩy mạnh cải cách hành chính, chủ trương về tăng cường phân cấp, tạo thuận lợi trong triển khai, tăng tính chủ động của các cơ quan, đơn vị, địa phương và phù hợp với điều kiện thực tiễn của địa phương.</w:t>
      </w:r>
    </w:p>
    <w:p>
      <w:pPr>
        <w:spacing w:after="120"/>
        <w:ind w:firstLine="720"/>
        <w:jc w:val="both"/>
        <w:rPr>
          <w:b/>
        </w:rPr>
      </w:pPr>
      <w:r>
        <w:rPr>
          <w:b/>
        </w:rPr>
        <w:t>III. QUÁ TRÌNH XÂY DỰNG DỰ THẢO QUYẾT ĐỊNH</w:t>
      </w:r>
    </w:p>
    <w:p>
      <w:pPr>
        <w:spacing w:after="120"/>
        <w:ind w:firstLine="720"/>
        <w:jc w:val="both"/>
      </w:pPr>
      <w:r>
        <w:t xml:space="preserve">1. Ngày 06 tháng 5 năm 2026, Sở Tài chính có Công văn số 3277/STC-TCHCSN gửi Sở Tư pháp đăng ký danh mục văn bản quy phạm pháp luật và Công </w:t>
      </w:r>
      <w:r>
        <w:lastRenderedPageBreak/>
        <w:t>văn số 3369/STC-TCHCSN ngày 08 tháng 5 năm 2026 gửi Sở Tư pháp đề nghị áp dụng trình tự, thủ tục rút gọn đối với việc xây dựng Quyết định; trên cơ sở đó, Sở Tư pháp có Công văn số 1594/STP-QLVB ngày 13 tháng 5 năm 2026 trình Chủ tịch Ủy ban nhân dân tỉnh xem xét, quyết định.</w:t>
      </w:r>
    </w:p>
    <w:p>
      <w:pPr>
        <w:spacing w:after="120"/>
        <w:ind w:firstLine="720"/>
        <w:jc w:val="both"/>
      </w:pPr>
      <w:r>
        <w:t>2. Ngày 20 tháng 5 năm 2026, Ủy ban nhân dân tỉnh ban hành Công văn số 2399/UBND-NC về việc thống nhất danh mục Quyết định của UBND tỉnh quy định chi tiết và các nội dung được giao; trong đó Sở Tài chính được phân công chủ trì xây dựng dự thảo Quyết định quy định thẩm quyền quyết định phê duyệt chủ trương và dự kiến kinh phí, chi phí thực hiện một số nhiệm vụ chi thường xuyên ngân sách nhà nước theo quy định tại Nghị định số 104/2026/NĐ-CP ngày 31/3/2026 của Chính phủ trên địa bàn tỉnh Quảng Trị theo trình tự, thủ tục rút gọn. Thời điểm trình UBND tỉnh xem xét: Quý II/2026.</w:t>
      </w:r>
    </w:p>
    <w:p>
      <w:pPr>
        <w:spacing w:after="120"/>
        <w:ind w:firstLine="720"/>
        <w:jc w:val="both"/>
      </w:pPr>
      <w:r>
        <w:t>3. Ngày … tháng 5 năm 2026, Sở Tài chính có Công văn số …/STC-TCHCSN đề nghị các cơ quan, đơn vị phối hợp nghiên cứu, có văn bản tham gia ý kiến đối với hồ sơ dự thảo Quyết định.</w:t>
      </w:r>
    </w:p>
    <w:p>
      <w:pPr>
        <w:spacing w:after="120"/>
        <w:ind w:firstLine="720"/>
        <w:jc w:val="both"/>
      </w:pPr>
      <w:r>
        <w:t>4. Sau khi rà soát, tổng hợp ý kiến tham gia góp ý của các cơ quan, đơn vị và các xã, phường, đặc khu. Ngày … tháng 5 năm 2026, Sở Tài chính có Công văn số …/STC-TCHCSN đề nghị Sở Tư pháp thẩm định hồ sơ xây dựng Quyết định.</w:t>
      </w:r>
    </w:p>
    <w:p>
      <w:pPr>
        <w:spacing w:after="120"/>
        <w:ind w:firstLine="720"/>
        <w:jc w:val="both"/>
      </w:pPr>
      <w:r>
        <w:t>5. Trên cơ sở ý kiến thẩm định của Sở Tư pháp tại Báo cáo thẩm định số .../BC-STP ngày … tháng 5 năm 2026; ngày … tháng 5 năm 2026, Sở Tài chính có Tờ trình số …/TTr-STC trình Ủy ban nhân dân tỉnh ban hành Quyết định.</w:t>
      </w:r>
    </w:p>
    <w:p>
      <w:pPr>
        <w:spacing w:after="120"/>
        <w:ind w:firstLine="720"/>
        <w:jc w:val="both"/>
        <w:rPr>
          <w:rFonts w:ascii="Times New Roman Bold" w:hAnsi="Times New Roman Bold"/>
          <w:b/>
          <w:spacing w:val="-8"/>
        </w:rPr>
      </w:pPr>
      <w:r>
        <w:rPr>
          <w:rFonts w:ascii="Times New Roman Bold" w:hAnsi="Times New Roman Bold"/>
          <w:b/>
          <w:spacing w:val="-8"/>
        </w:rPr>
        <w:t>IV. BỐ CỤC VÀ NỘI DUNG CƠ BẢN CỦA DỰ THẢO QUYẾT ĐỊNH</w:t>
      </w:r>
    </w:p>
    <w:p>
      <w:pPr>
        <w:spacing w:after="120"/>
        <w:ind w:firstLine="720"/>
        <w:jc w:val="both"/>
        <w:rPr>
          <w:b/>
        </w:rPr>
      </w:pPr>
      <w:r>
        <w:rPr>
          <w:b/>
        </w:rPr>
        <w:t>1. Phạm vi điều chỉnh, đối tượng áp dụng:</w:t>
      </w:r>
    </w:p>
    <w:p>
      <w:pPr>
        <w:spacing w:after="120"/>
        <w:ind w:firstLine="720"/>
        <w:jc w:val="both"/>
      </w:pPr>
      <w:r>
        <w:t xml:space="preserve">1.1. Phạm vi điều chỉnh: </w:t>
      </w:r>
    </w:p>
    <w:p>
      <w:pPr>
        <w:spacing w:after="120"/>
        <w:ind w:firstLine="720"/>
        <w:jc w:val="both"/>
        <w:rPr>
          <w:lang w:val="pt-BR"/>
        </w:rPr>
      </w:pPr>
      <w:r>
        <w:rPr>
          <w:lang w:val="pt-BR"/>
        </w:rPr>
        <w:t>Quyết định này quy định thẩm quyền quyết định phê duyệt chủ trương và dự kiến kinh phí, chi phí thực hiện các hoạt động: Mua sắm, sửa chữa, cải tạo, nâng cấp tài sản, trang thiết bị phục vụ hoạt động của các cơ quan, đơn vị; thuê hàng hoá, dịch vụ; sửa chữa, cải tạo, nâng cấp, mở rộng, xây dựng mới hạng mục công trình trong các dự án đã đầu tư xây dựng của cơ quan, đơn vị; hoạt động quy hoạch thuộc phạm vi quản lý của tỉnh Quảng Trị theo quy định tại khoản 3 Điều 17, điểm b khoản 2 Điều 20, điểm b khoản 2 Điều 25 và khoản 1 Điều 27 Nghị định số 104/2026/NĐ-CP ngày 31/3/2026 của Chính phủ.</w:t>
      </w:r>
    </w:p>
    <w:p>
      <w:pPr>
        <w:spacing w:after="120"/>
        <w:ind w:firstLine="720"/>
        <w:jc w:val="both"/>
        <w:rPr>
          <w:lang w:val="pt-BR"/>
        </w:rPr>
      </w:pPr>
      <w:r>
        <w:rPr>
          <w:lang w:val="pt-BR"/>
        </w:rPr>
        <w:t>1.2. Đối tượng áp dụng:</w:t>
      </w:r>
    </w:p>
    <w:p>
      <w:pPr>
        <w:spacing w:after="120"/>
        <w:ind w:firstLine="720"/>
        <w:jc w:val="both"/>
        <w:rPr>
          <w:bCs/>
          <w:lang w:val="pt-BR"/>
        </w:rPr>
      </w:pPr>
      <w:r>
        <w:rPr>
          <w:bCs/>
          <w:lang w:val="pt-BR"/>
        </w:rPr>
        <w:t>- Các cơ quan, đơn vị thuộc phạm vi quản lý của tỉnh Quảng Trị, bao gồm: cơ quan nhà nước; Ủy ban Mặt trận Tổ quốc Việt Nam; các tổ chức chính trị - xã hội; tổ chức chính trị; đơn vị sự nghiệp công lập.</w:t>
      </w:r>
    </w:p>
    <w:p>
      <w:pPr>
        <w:spacing w:after="120"/>
        <w:ind w:firstLine="720"/>
        <w:jc w:val="both"/>
        <w:rPr>
          <w:lang w:val="pt-BR"/>
        </w:rPr>
      </w:pPr>
      <w:r>
        <w:rPr>
          <w:lang w:val="pt-BR"/>
        </w:rPr>
        <w:t xml:space="preserve">- Các tổ chức, cá nhân khác có liên quan đến việc sử dụng kinh phí chi thường xuyên ngân sách nhà nước để thực hiện mua sắm, sửa chữa, cải tạo, nâng cấp tài sản, trang thiết bị; thuê hàng hóa, dịch vụ; cải tạo, nâng cấp, mở rộng, xây </w:t>
      </w:r>
      <w:r>
        <w:rPr>
          <w:lang w:val="pt-BR"/>
        </w:rPr>
        <w:lastRenderedPageBreak/>
        <w:t>dựng mới hạng mục công trình trong các dự án đã đầu tư xây dựng; thực hiện hoạt động quy hoạch.</w:t>
      </w:r>
    </w:p>
    <w:p>
      <w:pPr>
        <w:spacing w:after="120"/>
        <w:ind w:firstLine="720"/>
        <w:jc w:val="both"/>
        <w:rPr>
          <w:b/>
          <w:lang w:val="pt-BR"/>
        </w:rPr>
      </w:pPr>
      <w:r>
        <w:rPr>
          <w:b/>
          <w:lang w:val="pt-BR"/>
        </w:rPr>
        <w:t>2. Bố cục:</w:t>
      </w:r>
    </w:p>
    <w:p>
      <w:pPr>
        <w:spacing w:after="120"/>
        <w:ind w:firstLine="720"/>
        <w:jc w:val="both"/>
        <w:rPr>
          <w:lang w:val="pt-BR"/>
        </w:rPr>
      </w:pPr>
      <w:r>
        <w:rPr>
          <w:lang w:val="pt-BR"/>
        </w:rPr>
        <w:t>Dự thảo Quyết định gồm 06 Điều, được xây dựng theo Mẫu số 19 Phụ lục II ban hành kèm theo Nghị định số 78/2025/NĐ-CP ngày 01/4/2025 của Chính phủ quy định chi tiết một số điều và biện pháp để tổ chức, hướng dẫn thi hành Luật Ban hành văn bản quy phạm pháp luật, cụ thể:</w:t>
      </w:r>
    </w:p>
    <w:p>
      <w:pPr>
        <w:spacing w:after="120"/>
        <w:ind w:firstLine="720"/>
        <w:jc w:val="both"/>
        <w:rPr>
          <w:lang w:val="pt-BR"/>
        </w:rPr>
      </w:pPr>
      <w:r>
        <w:rPr>
          <w:lang w:val="pt-BR"/>
        </w:rPr>
        <w:t>- Điều 1. Phạm vi điều chỉnh.</w:t>
      </w:r>
    </w:p>
    <w:p>
      <w:pPr>
        <w:spacing w:after="120"/>
        <w:ind w:firstLine="720"/>
        <w:jc w:val="both"/>
        <w:rPr>
          <w:lang w:val="pt-BR"/>
        </w:rPr>
      </w:pPr>
      <w:r>
        <w:rPr>
          <w:lang w:val="pt-BR"/>
        </w:rPr>
        <w:t>- Điều 2. Đối tượng áp dụng.</w:t>
      </w:r>
    </w:p>
    <w:p>
      <w:pPr>
        <w:spacing w:after="120"/>
        <w:ind w:firstLine="720"/>
        <w:jc w:val="both"/>
        <w:rPr>
          <w:lang w:val="pt-BR"/>
        </w:rPr>
      </w:pPr>
      <w:r>
        <w:rPr>
          <w:lang w:val="pt-BR"/>
        </w:rPr>
        <w:t>- Điều 3. Thẩm quyền phê duyệt chủ trương và dự kiến kinh phí thực hiện mua sắm, sửa chữa, cải tạo, nâng cấp tài sản, trang thiết bị phục vụ hoạt động của các cơ quan, đơn vị; thuê hàng hoá, dịch vụ; sửa chữa, cải tạo, nâng cấp, mở rộng, xây dựng mới hạng mục công trình trong các dự án đã đầu tư xây dựng.</w:t>
      </w:r>
    </w:p>
    <w:p>
      <w:pPr>
        <w:spacing w:after="120"/>
        <w:ind w:firstLine="720"/>
        <w:jc w:val="both"/>
        <w:rPr>
          <w:lang w:val="pt-BR"/>
        </w:rPr>
      </w:pPr>
      <w:r>
        <w:rPr>
          <w:lang w:val="pt-BR"/>
        </w:rPr>
        <w:t>- Điều 4. Thẩm quyền phê duyệt chủ trương và dự kiến chi phí sửa chữa, cải tạo, nâng cấp, mở rộng, xây dựng mới hạng mục công trình trong các dự án đã đầu tư xây dựng.</w:t>
      </w:r>
    </w:p>
    <w:p>
      <w:pPr>
        <w:spacing w:after="120"/>
        <w:ind w:firstLine="720"/>
        <w:jc w:val="both"/>
        <w:rPr>
          <w:lang w:val="pt-BR"/>
        </w:rPr>
      </w:pPr>
      <w:r>
        <w:rPr>
          <w:lang w:val="pt-BR"/>
        </w:rPr>
        <w:t>- Điều 5. Thẩm quyền phê duyệt dự kiến chi phí thực hiện hoạt động quy hoạch.</w:t>
      </w:r>
    </w:p>
    <w:p>
      <w:pPr>
        <w:spacing w:after="120"/>
        <w:ind w:firstLine="720"/>
        <w:jc w:val="both"/>
        <w:rPr>
          <w:lang w:val="pt-BR"/>
        </w:rPr>
      </w:pPr>
      <w:r>
        <w:rPr>
          <w:lang w:val="pt-BR"/>
        </w:rPr>
        <w:t>- Điều 6. Điều khoản thi hành.</w:t>
      </w:r>
    </w:p>
    <w:p>
      <w:pPr>
        <w:spacing w:after="120"/>
        <w:ind w:firstLine="720"/>
        <w:jc w:val="both"/>
        <w:rPr>
          <w:b/>
          <w:lang w:val="pt-BR"/>
        </w:rPr>
      </w:pPr>
      <w:r>
        <w:rPr>
          <w:b/>
          <w:lang w:val="pt-BR"/>
        </w:rPr>
        <w:t>3. Nội dung cơ bản của dự thảo Quyết định:</w:t>
      </w:r>
    </w:p>
    <w:p>
      <w:pPr>
        <w:spacing w:after="120"/>
        <w:ind w:firstLine="720"/>
        <w:jc w:val="both"/>
        <w:rPr>
          <w:lang w:val="pt-BR"/>
        </w:rPr>
      </w:pPr>
      <w:r>
        <w:rPr>
          <w:lang w:val="pt-BR"/>
        </w:rPr>
        <w:t>Việc xây dựng quy định về thẩm quyền quyết định phê duyệt chủ trương và dự kiến kinh phí, chi phí thực hiện các nhiệm vụ được thực hiện trên cơ sở kế thừa các nội dung còn phù hợp của Nghị quyết số 95/2025/NQ-HĐND ngày 26/6/2025 của Hội đồng nhân dân tỉnh Quảng Bình, đồng thời cập nhật các quy định mới tại Nghị định số 104/2026/NĐ-CP ngày 31/3/2026 của Chính phủ, bảo đảm phù hợp yêu cầu đẩy mạnh phân cấp, phân quyền, tăng tính chủ động, linh hoạt trong tổ chức thực hiện và nâng cao hiệu quả quản lý, sử dụng ngân sách nhà nước.</w:t>
      </w:r>
    </w:p>
    <w:p>
      <w:pPr>
        <w:spacing w:after="120"/>
        <w:ind w:firstLine="720"/>
        <w:jc w:val="both"/>
        <w:rPr>
          <w:lang w:val="pt-BR"/>
        </w:rPr>
      </w:pPr>
      <w:r>
        <w:rPr>
          <w:lang w:val="pt-BR"/>
        </w:rPr>
        <w:t>Dự thảo quy định 03 nhóm nội dung chính:</w:t>
      </w:r>
    </w:p>
    <w:p>
      <w:pPr>
        <w:spacing w:after="120"/>
        <w:ind w:firstLine="720"/>
        <w:jc w:val="both"/>
        <w:rPr>
          <w:lang w:val="pt-BR"/>
        </w:rPr>
      </w:pPr>
      <w:r>
        <w:rPr>
          <w:lang w:val="pt-BR"/>
        </w:rPr>
        <w:t>(i) Đối với nhiệm vụ mua sắm, sửa chữa, cải tạo, nâng cấp tài sản, trang thiết bị; thuê hàng hóa, dịch vụ phục vụ hoạt động của các cơ quan, đơn vị:</w:t>
      </w:r>
    </w:p>
    <w:p>
      <w:pPr>
        <w:spacing w:after="120"/>
        <w:ind w:firstLine="720"/>
        <w:jc w:val="both"/>
        <w:rPr>
          <w:lang w:val="pt-BR"/>
        </w:rPr>
      </w:pPr>
      <w:r>
        <w:rPr>
          <w:lang w:val="pt-BR"/>
        </w:rPr>
        <w:t>- Đối với nguồn kinh phí chi thường xuyên giao thực hiện chế độ tự chủ, giao Thủ trưởng các cơ quan, đơn vị sử dụng ngân sách quyết định phê duyệt chủ trương và dự kiến kinh phí thực hiện. Quy định này phù hợp với cơ chế tự chủ tài chính hiện hành, tăng tính chủ động, tự chịu trách nhiệm của đơn vị trong quản lý, sử dụng kinh phí được giao.</w:t>
      </w:r>
    </w:p>
    <w:p>
      <w:pPr>
        <w:spacing w:after="120"/>
        <w:ind w:firstLine="720"/>
        <w:jc w:val="both"/>
        <w:rPr>
          <w:lang w:val="pt-BR"/>
        </w:rPr>
      </w:pPr>
      <w:r>
        <w:rPr>
          <w:lang w:val="pt-BR"/>
        </w:rPr>
        <w:t xml:space="preserve">- Đối với nguồn kinh phí chi thường xuyên không giao thực hiện chế độ tự chủ, cơ bản kế thừa thẩm quyền đang thực hiện theo Nghị quyết số 95/2025/NQ-HĐND, theo đó giao Ủy ban nhân dân cấp tỉnh và Ủy ban nhân dân cấp xã quyết định theo phạm vi quản lý và nguồn ngân sách tương ứng. Đồng thời, để tăng tính </w:t>
      </w:r>
      <w:r>
        <w:rPr>
          <w:lang w:val="pt-BR"/>
        </w:rPr>
        <w:lastRenderedPageBreak/>
        <w:t>chủ động, rút ngắn thời gian xử lý công việc, dự thảo bổ sung phân cấp cho Thủ trưởng đơn vị dự toán cấp I thuộc cấp tỉnh quyết định phê duyệt chủ trương và dự kiến kinh phí đối với các nhiệm vụ có dự toán dưới 1 tỷ đồng/nhiệm vụ.</w:t>
      </w:r>
    </w:p>
    <w:p>
      <w:pPr>
        <w:spacing w:after="120"/>
        <w:ind w:firstLine="720"/>
        <w:jc w:val="both"/>
        <w:rPr>
          <w:lang w:val="pt-BR"/>
        </w:rPr>
      </w:pPr>
      <w:r>
        <w:rPr>
          <w:lang w:val="pt-BR"/>
        </w:rPr>
        <w:t>(ii) Đối với nhiệm vụ sửa chữa, cải tạo, nâng cấp, mở rộng, xây dựng mới hạng mục công trình trong các dự án đã đầu tư xây dựng: Dự thảo kế thừa thẩm quyền đang thực hiện theo Nghị quyết số 95/2025/NQ-HĐND, giao Ủy ban nhân dân cấp tỉnh và Ủy ban nhân dân cấp xã quyết định phê duyệt chủ trương và dự kiến chi phí theo phạm vi quản lý, nguồn ngân sách tương ứng, bảo đảm thống nhất trong tổ chức thực hiện.</w:t>
      </w:r>
    </w:p>
    <w:p>
      <w:pPr>
        <w:spacing w:after="120"/>
        <w:ind w:firstLine="720"/>
        <w:jc w:val="both"/>
        <w:rPr>
          <w:lang w:val="pt-BR"/>
        </w:rPr>
      </w:pPr>
      <w:r>
        <w:rPr>
          <w:lang w:val="pt-BR"/>
        </w:rPr>
        <w:t>Đồng thời, để tăng tính chủ động, rút ngắn thời gian xử lý công việc, dự thảo bổ sung phân cấp cho Thủ trưởng đơn vị dự toán cấp I thuộc cấp tỉnh quyết định phê duyệt chủ trương và dự kiến kinh phí đối với các nhiệm vụ có dự toán dưới 1 tỷ đồng/nhiệm vụ.</w:t>
      </w:r>
    </w:p>
    <w:p>
      <w:pPr>
        <w:spacing w:after="120"/>
        <w:ind w:firstLine="720"/>
        <w:jc w:val="both"/>
        <w:rPr>
          <w:lang w:val="pt-BR"/>
        </w:rPr>
      </w:pPr>
      <w:r>
        <w:rPr>
          <w:lang w:val="pt-BR"/>
        </w:rPr>
        <w:t>(iii) Đối với hoạt động quy hoạch: Đây là nội dung mới được bổ sung theo quy định tại Nghị định số 104/2026/NĐ-CP. Việc quy định thẩm quyền phê duyệt dự kiến chi phí được xây dựng trên cơ sở phù hợp với quy định của Luật Quy hoạch đô thị và nông thôn, Nghị định số 145/2025/NĐ-CP ngày 12/6/2025 của Chính phủ về thẩm quyền của chính quyền địa phương 02 cấp, phân quyền, phân cấp trong lĩnh vực quy hoạch đô thị và nông thôn, bảo đảm đồng bộ, thống nhất trong tổ chức thực hiện.</w:t>
      </w:r>
    </w:p>
    <w:p>
      <w:pPr>
        <w:spacing w:after="120"/>
        <w:ind w:firstLine="720"/>
        <w:jc w:val="both"/>
        <w:rPr>
          <w:b/>
          <w:i/>
          <w:lang w:val="pt-BR"/>
        </w:rPr>
      </w:pPr>
      <w:r>
        <w:rPr>
          <w:b/>
          <w:i/>
          <w:lang w:val="pt-BR"/>
        </w:rPr>
        <w:t>Các quy định về thẩm quyền quyết định phê duyệt chủ trương và dự kiến kinh phí, chi phí thực hiện một số nhiệm vụ theo quy định tại Nghị định số 104/2026/NĐ-CP được cụ thể hoá trong Quyết định như sau:</w:t>
      </w:r>
    </w:p>
    <w:p>
      <w:pPr>
        <w:spacing w:after="120"/>
        <w:ind w:firstLine="720"/>
        <w:jc w:val="both"/>
        <w:rPr>
          <w:lang w:val="pt-BR"/>
        </w:rPr>
      </w:pPr>
      <w:r>
        <w:rPr>
          <w:lang w:val="pt-BR"/>
        </w:rPr>
        <w:t>3.1. Thẩm quyền phê duyệt chủ trương và dự kiến kinh phí thực hiện mua sắm, sửa chữa, cải tạo, nâng cấp tài sản, trang thiết bị phục vụ hoạt động của các cơ quan, đơn vị; thuê hàng hoá, dịch vụ (</w:t>
      </w:r>
      <w:r>
        <w:rPr>
          <w:b/>
          <w:lang w:val="pt-BR"/>
        </w:rPr>
        <w:t>Điều 3 dự thảo</w:t>
      </w:r>
      <w:r>
        <w:rPr>
          <w:lang w:val="pt-BR"/>
        </w:rPr>
        <w:t>)</w:t>
      </w:r>
    </w:p>
    <w:p>
      <w:pPr>
        <w:widowControl w:val="0"/>
        <w:spacing w:after="120"/>
        <w:ind w:firstLine="709"/>
        <w:jc w:val="both"/>
        <w:rPr>
          <w:spacing w:val="-4"/>
          <w:shd w:val="clear" w:color="auto" w:fill="FFFFFF"/>
          <w:lang w:val="pt-BR"/>
        </w:rPr>
      </w:pPr>
      <w:r>
        <w:rPr>
          <w:spacing w:val="-4"/>
          <w:shd w:val="clear" w:color="auto" w:fill="FFFFFF"/>
          <w:lang w:val="pt-BR"/>
        </w:rPr>
        <w:t xml:space="preserve">- Đối với nguồn kinh phí chi thường xuyên ngân sách nhà nước giao thực hiện chế độ tự chủ của các cơ quan, đơn vị theo quy định của Chính phủ về chế độ tự chủ, tự chịu trách nhiệm về quản lý, sử dụng kinh phí quản lý hành chính đối với cơ quan nhà nước và cơ chế tự chủ tài chính của đơn vị sự nghiệp công lập: </w:t>
      </w:r>
    </w:p>
    <w:p>
      <w:pPr>
        <w:widowControl w:val="0"/>
        <w:spacing w:after="120"/>
        <w:ind w:firstLine="709"/>
        <w:jc w:val="both"/>
        <w:rPr>
          <w:shd w:val="clear" w:color="auto" w:fill="FFFFFF"/>
          <w:lang w:val="pt-BR"/>
        </w:rPr>
      </w:pPr>
      <w:r>
        <w:rPr>
          <w:shd w:val="clear" w:color="auto" w:fill="FFFFFF"/>
          <w:lang w:val="pt-BR"/>
        </w:rPr>
        <w:t>Thủ trưởng các cơ quan, đơn vị sử dụng ngân sách quyết định phê duyệt chủ trương và dự kiến kinh phí thực hiện mua sắm, sửa chữa, cải tạo, nâng cấp tài sản, trang thiết bị và thuê hàng hóa, dịch vụ phục vụ hoạt động của cơ quan, đơn vị mình.</w:t>
      </w:r>
    </w:p>
    <w:p>
      <w:pPr>
        <w:widowControl w:val="0"/>
        <w:spacing w:after="120"/>
        <w:ind w:firstLine="709"/>
        <w:jc w:val="both"/>
        <w:rPr>
          <w:shd w:val="clear" w:color="auto" w:fill="FFFFFF"/>
          <w:lang w:val="pt-BR"/>
        </w:rPr>
      </w:pPr>
      <w:r>
        <w:rPr>
          <w:shd w:val="clear" w:color="auto" w:fill="FFFFFF"/>
          <w:lang w:val="pt-BR"/>
        </w:rPr>
        <w:t>- Đối với nguồn kinh phí chi thường xuyên ngân sách nhà nước không giao thực hiện chế độ tự chủ:</w:t>
      </w:r>
    </w:p>
    <w:p>
      <w:pPr>
        <w:widowControl w:val="0"/>
        <w:spacing w:after="120"/>
        <w:ind w:firstLine="709"/>
        <w:jc w:val="both"/>
        <w:rPr>
          <w:shd w:val="clear" w:color="auto" w:fill="FFFFFF"/>
          <w:lang w:val="pt-BR"/>
        </w:rPr>
      </w:pPr>
      <w:r>
        <w:rPr>
          <w:shd w:val="clear" w:color="auto" w:fill="FFFFFF"/>
          <w:lang w:val="pt-BR"/>
        </w:rPr>
        <w:t>a) Ủy ban nhân dân cấp tỉnh quyết định phê duyệt chủ trương và dự kiến kinh phí thực hiện mua sắm, sửa chữa, cải tạo, nâng cấp tài sản, trang thiết bị; thuê hàng hóa, dịch vụ phục vụ hoạt động của các cơ quan, đơn vị thuộc cấp tỉnh đối với các nhiệm vụ có mức dự kiến kinh phí từ 01 tỷ đồng/nhiệm vụ trở lên, sử dụng nguồn ngân sách cấp tỉnh, bao gồm số bổ sung có mục tiêu từ ngân sách cấp trên.</w:t>
      </w:r>
    </w:p>
    <w:p>
      <w:pPr>
        <w:widowControl w:val="0"/>
        <w:spacing w:after="120"/>
        <w:ind w:firstLine="709"/>
        <w:jc w:val="both"/>
        <w:rPr>
          <w:shd w:val="clear" w:color="auto" w:fill="FFFFFF"/>
          <w:lang w:val="pt-BR"/>
        </w:rPr>
      </w:pPr>
      <w:r>
        <w:rPr>
          <w:shd w:val="clear" w:color="auto" w:fill="FFFFFF"/>
          <w:lang w:val="pt-BR"/>
        </w:rPr>
        <w:lastRenderedPageBreak/>
        <w:t>b) Thủ trưởng các cơ quan, đơn vị dự toán cấp I thuộc cấp tỉnh quyết định phê duyệt chủ trương và dự kiến kinh phí thực hiện mua sắm, sửa chữa, cải tạo, nâng cấp tài sản, trang thiết bị; thuê hàng hóa, dịch vụ phục vụ hoạt động của cơ quan, đơn vị mình và các đơn vị sử dụng ngân sách trực thuộc quản lý</w:t>
      </w:r>
      <w:bookmarkStart w:id="0" w:name="_GoBack"/>
      <w:bookmarkEnd w:id="0"/>
      <w:r>
        <w:rPr>
          <w:shd w:val="clear" w:color="auto" w:fill="FFFFFF"/>
          <w:lang w:val="pt-BR"/>
        </w:rPr>
        <w:t xml:space="preserve"> đối với các nhiệm vụ có mức dự kiến kinh phí dưới 01 tỷ đồng/nhiệm vụ, sử dụng nguồn ngân sách cấp tỉnh, bao gồm số bổ sung có mục tiêu từ ngân sách cấp trên.</w:t>
      </w:r>
    </w:p>
    <w:p>
      <w:pPr>
        <w:widowControl w:val="0"/>
        <w:spacing w:after="120"/>
        <w:ind w:firstLine="709"/>
        <w:jc w:val="both"/>
        <w:rPr>
          <w:shd w:val="clear" w:color="auto" w:fill="FFFFFF"/>
          <w:lang w:val="pt-BR"/>
        </w:rPr>
      </w:pPr>
      <w:r>
        <w:rPr>
          <w:shd w:val="clear" w:color="auto" w:fill="FFFFFF"/>
          <w:lang w:val="pt-BR"/>
        </w:rPr>
        <w:t>c) Ủy ban nhân dân cấp xã quyết định phê duyệt chủ trương và dự kiến kinh phí thực hiện mua sắm, sửa chữa, cải tạo, nâng cấp tài sản, trang thiết bị; thuê hàng hóa, dịch vụ phục vụ hoạt động của các cơ quan, đơn vị thuộc cấp xã, sử dụng nguồn ngân sách cấp xã, bao gồm số bổ sung có mục tiêu từ ngân sách cấp trên.</w:t>
      </w:r>
    </w:p>
    <w:p>
      <w:pPr>
        <w:spacing w:after="120"/>
        <w:ind w:firstLine="720"/>
        <w:jc w:val="both"/>
        <w:rPr>
          <w:lang w:val="pt-BR"/>
        </w:rPr>
      </w:pPr>
      <w:r>
        <w:rPr>
          <w:lang w:val="pt-BR"/>
        </w:rPr>
        <w:t>3.2. Thẩm quyền phê duyệt chủ trương và dự kiến chi phí sửa chữa, cải tạo, nâng cấp, mở rộng, xây dựng mới hạng mục công trình trong các dự án đã đầu tư xây dựng (</w:t>
      </w:r>
      <w:r>
        <w:rPr>
          <w:b/>
          <w:lang w:val="pt-BR"/>
        </w:rPr>
        <w:t>Điều 4 dự thảo</w:t>
      </w:r>
      <w:r>
        <w:rPr>
          <w:lang w:val="pt-BR"/>
        </w:rPr>
        <w:t>)</w:t>
      </w:r>
    </w:p>
    <w:p>
      <w:pPr>
        <w:widowControl w:val="0"/>
        <w:spacing w:after="120"/>
        <w:ind w:firstLine="709"/>
        <w:jc w:val="both"/>
        <w:rPr>
          <w:spacing w:val="-4"/>
          <w:shd w:val="clear" w:color="auto" w:fill="FFFFFF"/>
          <w:lang w:val="pt-BR"/>
        </w:rPr>
      </w:pPr>
      <w:r>
        <w:rPr>
          <w:lang w:val="pt-BR"/>
        </w:rPr>
        <w:t xml:space="preserve">- </w:t>
      </w:r>
      <w:r>
        <w:rPr>
          <w:spacing w:val="-4"/>
          <w:shd w:val="clear" w:color="auto" w:fill="FFFFFF"/>
          <w:lang w:val="pt-BR"/>
        </w:rPr>
        <w:t>Đối với nguồn kinh phí chi thường xuyên ngân sách nhà nước giao thực hiện chế độ tự chủ của các cơ quan, đơn vị theo quy định của Chính phủ về chế độ tự chủ, tự chịu trách nhiệm về quản lý, sử dụng kinh phí quản lý hành chính đối với cơ quan nhà nước và cơ chế tự chủ tài chính của đơn vị sự nghiệp công lập:</w:t>
      </w:r>
    </w:p>
    <w:p>
      <w:pPr>
        <w:widowControl w:val="0"/>
        <w:spacing w:after="120"/>
        <w:ind w:firstLine="709"/>
        <w:jc w:val="both"/>
        <w:rPr>
          <w:shd w:val="clear" w:color="auto" w:fill="FFFFFF"/>
          <w:lang w:val="pt-BR"/>
        </w:rPr>
      </w:pPr>
      <w:r>
        <w:rPr>
          <w:shd w:val="clear" w:color="auto" w:fill="FFFFFF"/>
          <w:lang w:val="pt-BR"/>
        </w:rPr>
        <w:t>Thủ trưởng các cơ quan, đơn vị sử dụng ngân sách quyết định phê duyệt chủ trương và dự kiến chi phí thực hiện sửa chữa, cải tạo, nâng cấp, mở rộng, xây dựng mới hạng mục công trình trong các dự án đã đầu tư xây dựng phục vụ hoạt động của cơ quan, đơn vị mình.</w:t>
      </w:r>
    </w:p>
    <w:p>
      <w:pPr>
        <w:widowControl w:val="0"/>
        <w:spacing w:after="120"/>
        <w:ind w:firstLine="709"/>
        <w:jc w:val="both"/>
        <w:rPr>
          <w:shd w:val="clear" w:color="auto" w:fill="FFFFFF"/>
          <w:lang w:val="pt-BR"/>
        </w:rPr>
      </w:pPr>
      <w:r>
        <w:rPr>
          <w:shd w:val="clear" w:color="auto" w:fill="FFFFFF"/>
          <w:lang w:val="pt-BR"/>
        </w:rPr>
        <w:t>- Đối với nguồn kinh phí chi thường xuyên ngân sách nhà nước không giao thực hiện chế độ tự chủ:</w:t>
      </w:r>
    </w:p>
    <w:p>
      <w:pPr>
        <w:widowControl w:val="0"/>
        <w:spacing w:after="120"/>
        <w:ind w:firstLine="709"/>
        <w:jc w:val="both"/>
        <w:rPr>
          <w:spacing w:val="-4"/>
          <w:shd w:val="clear" w:color="auto" w:fill="FFFFFF"/>
          <w:lang w:val="pt-BR"/>
        </w:rPr>
      </w:pPr>
      <w:r>
        <w:rPr>
          <w:spacing w:val="-4"/>
          <w:shd w:val="clear" w:color="auto" w:fill="FFFFFF"/>
          <w:lang w:val="pt-BR"/>
        </w:rPr>
        <w:t>a) Ủy ban nhân dân cấp tỉnh quyết định phê duyệt chủ trương và dự kiến chi phí thực hiện sửa chữa, cải tạo, nâng cấp, mở rộng, xây dựng mới hạng mục công trình trong các dự án đã đầu tư xây dựng thuộc phạm vi quản lý của các cơ quan, đơn vị thuộc cấp tỉnh đối với các nhiệm vụ có mức dự kiến chi phí từ 01 tỷ đồng/nhiệm vụ trở lên, sử dụng nguồn ngân sách cấp tỉnh, bao gồm số bổ sung có mục tiêu từ ngân sách cấp trên.</w:t>
      </w:r>
    </w:p>
    <w:p>
      <w:pPr>
        <w:widowControl w:val="0"/>
        <w:spacing w:after="120"/>
        <w:ind w:firstLine="709"/>
        <w:jc w:val="both"/>
        <w:rPr>
          <w:spacing w:val="-4"/>
          <w:shd w:val="clear" w:color="auto" w:fill="FFFFFF"/>
          <w:lang w:val="pt-BR"/>
        </w:rPr>
      </w:pPr>
      <w:r>
        <w:rPr>
          <w:spacing w:val="-4"/>
          <w:shd w:val="clear" w:color="auto" w:fill="FFFFFF"/>
          <w:lang w:val="pt-BR"/>
        </w:rPr>
        <w:t>b) Thủ trưởng các cơ quan, đơn vị dự toán cấp I thuộc cấp tỉnh quyết định phê duyệt chủ trương và dự kiến chi phí thực hiện sửa chữa, cải tạo, nâng cấp, mở rộng, xây dựng mới hạng mục công trình trong các dự án đã đầu tư xây dựng của cơ quan, đơn vị mình và các đơn vị sử dụng ngân sách trực thuộc đối với các nhiệm vụ có mức dự kiến chi phí dưới 01 tỷ đồng/nhiệm vụ, sử dụng nguồn ngân sách cấp tỉnh, bao gồm số bổ sung có mục tiêu từ ngân sách cấp trên.</w:t>
      </w:r>
    </w:p>
    <w:p>
      <w:pPr>
        <w:widowControl w:val="0"/>
        <w:spacing w:after="120"/>
        <w:ind w:firstLine="709"/>
        <w:jc w:val="both"/>
        <w:rPr>
          <w:spacing w:val="-4"/>
          <w:shd w:val="clear" w:color="auto" w:fill="FFFFFF"/>
          <w:lang w:val="pt-BR"/>
        </w:rPr>
      </w:pPr>
      <w:r>
        <w:rPr>
          <w:spacing w:val="-4"/>
          <w:shd w:val="clear" w:color="auto" w:fill="FFFFFF"/>
          <w:lang w:val="pt-BR"/>
        </w:rPr>
        <w:t>c) Ủy ban nhân dân cấp xã quyết định phê duyệt chủ trương và dự kiến chi phí thực hiện sửa chữa, cải tạo, nâng cấp, mở rộng, xây dựng mới hạng mục công trình trong các dự án đã đầu tư xây dựng của các cơ quan, đơn vị thuộc phạm vi quản lý của cấp xã, sử dụng nguồn ngân sách cấp xã, bao gồm số bổ sung có mục tiêu từ ngân sách cấp trên.</w:t>
      </w:r>
    </w:p>
    <w:p>
      <w:pPr>
        <w:widowControl w:val="0"/>
        <w:spacing w:after="120"/>
        <w:ind w:firstLine="709"/>
        <w:jc w:val="both"/>
        <w:rPr>
          <w:lang w:val="pt-BR"/>
        </w:rPr>
      </w:pPr>
      <w:r>
        <w:rPr>
          <w:lang w:val="pt-BR"/>
        </w:rPr>
        <w:t xml:space="preserve">3.3. Thẩm quyền phê duyệt dự kiến chi phí thực hiện hoạt động quy hoạch </w:t>
      </w:r>
      <w:r>
        <w:rPr>
          <w:lang w:val="pt-BR"/>
        </w:rPr>
        <w:lastRenderedPageBreak/>
        <w:t>(</w:t>
      </w:r>
      <w:r>
        <w:rPr>
          <w:b/>
          <w:lang w:val="pt-BR"/>
        </w:rPr>
        <w:t>Điều 5 dự thảo</w:t>
      </w:r>
      <w:r>
        <w:rPr>
          <w:lang w:val="pt-BR"/>
        </w:rPr>
        <w:t>)</w:t>
      </w:r>
    </w:p>
    <w:p>
      <w:pPr>
        <w:widowControl w:val="0"/>
        <w:spacing w:after="120"/>
        <w:ind w:firstLine="709"/>
        <w:jc w:val="both"/>
        <w:rPr>
          <w:lang w:val="pt-BR"/>
        </w:rPr>
      </w:pPr>
      <w:r>
        <w:rPr>
          <w:lang w:val="pt-BR"/>
        </w:rPr>
        <w:t xml:space="preserve">- Ủy ban nhân dân tỉnh quyết định phê duyệt dự kiến chi phí thực hiện hoạt động quy hoạch đối với quy hoạch thuộc thẩm quyền phê duyệt của Ủy ban nhân dân tỉnh (trừ các quy hoạch đã phân cấp, ủy quyền cho đơn vị cấp dưới). </w:t>
      </w:r>
    </w:p>
    <w:p>
      <w:pPr>
        <w:widowControl w:val="0"/>
        <w:spacing w:after="120"/>
        <w:ind w:firstLine="709"/>
        <w:jc w:val="both"/>
        <w:rPr>
          <w:lang w:val="pt-BR"/>
        </w:rPr>
      </w:pPr>
      <w:r>
        <w:rPr>
          <w:lang w:val="pt-BR"/>
        </w:rPr>
        <w:t>- Ủy ban nhân dân cấp xã quyết định phê duyệt dự kiến chi phí thực hiện hoạt động quy hoạch đối với quy hoạch thuộc thẩm quyền phê duyệt của mình hoặc được phân cấp, ủy quyền phê duyệt theo quy định.</w:t>
      </w:r>
    </w:p>
    <w:p>
      <w:pPr>
        <w:widowControl w:val="0"/>
        <w:spacing w:after="120"/>
        <w:ind w:firstLine="709"/>
        <w:jc w:val="both"/>
        <w:rPr>
          <w:lang w:val="pt-BR"/>
        </w:rPr>
      </w:pPr>
      <w:r>
        <w:rPr>
          <w:lang w:val="pt-BR"/>
        </w:rPr>
        <w:t>- Ban Quản lý Khu Kinh tế và các đơn vị khác quyết định phê duyệt dự kiến chi phí thực hiện hoạt động quy hoạch đối với quy hoạch thuộc thẩm quyền phê duyệt hoặc được phân cấp, ủy quyền phê duyệt theo quy định.</w:t>
      </w:r>
    </w:p>
    <w:p>
      <w:pPr>
        <w:spacing w:after="120"/>
        <w:ind w:firstLine="720"/>
        <w:jc w:val="both"/>
        <w:rPr>
          <w:lang w:val="pt-BR"/>
        </w:rPr>
      </w:pPr>
      <w:r>
        <w:rPr>
          <w:lang w:val="pt-BR"/>
        </w:rPr>
        <w:t>3.4. Điều khoản thi hành (</w:t>
      </w:r>
      <w:r>
        <w:rPr>
          <w:b/>
          <w:lang w:val="pt-BR"/>
        </w:rPr>
        <w:t>Điều 6 dự thảo</w:t>
      </w:r>
      <w:r>
        <w:rPr>
          <w:lang w:val="pt-BR"/>
        </w:rPr>
        <w:t>)</w:t>
      </w:r>
    </w:p>
    <w:p>
      <w:pPr>
        <w:spacing w:after="120"/>
        <w:ind w:firstLine="720"/>
        <w:jc w:val="both"/>
        <w:rPr>
          <w:lang w:val="pt-BR"/>
        </w:rPr>
      </w:pPr>
      <w:r>
        <w:rPr>
          <w:lang w:val="pt-BR"/>
        </w:rPr>
        <w:t>- Quyết định này có hiệu lực thi hành từ ngày ký ban hành.</w:t>
      </w:r>
    </w:p>
    <w:p>
      <w:pPr>
        <w:spacing w:after="120"/>
        <w:ind w:firstLine="720"/>
        <w:jc w:val="both"/>
        <w:rPr>
          <w:lang w:val="pt-BR"/>
        </w:rPr>
      </w:pPr>
      <w:r>
        <w:rPr>
          <w:lang w:val="pt-BR"/>
        </w:rPr>
        <w:t>- Chánh Văn phòng UBND tỉnh; Giám đốc các Sở, ban, ngành; Chủ tịch UBND các xã, phường, đặc khu và Thủ trưởng các cơ quan, đơn vị, cá nhân có liên quan chịu trách nhiệm thi hành Quyết định này./.</w:t>
      </w:r>
    </w:p>
    <w:p>
      <w:pPr>
        <w:spacing w:after="120"/>
        <w:ind w:firstLine="720"/>
        <w:jc w:val="both"/>
        <w:rPr>
          <w:b/>
          <w:lang w:val="pt-BR"/>
        </w:rPr>
      </w:pPr>
      <w:r>
        <w:rPr>
          <w:b/>
          <w:lang w:val="pt-BR"/>
        </w:rPr>
        <w:t>V. DỰ KIẾN NGUỒN LỰC, ĐIỀU KIỆN BẢO ĐẢM CHO VIỆC THI HÀNH</w:t>
      </w:r>
    </w:p>
    <w:p>
      <w:pPr>
        <w:spacing w:after="120"/>
        <w:ind w:firstLine="720"/>
        <w:jc w:val="both"/>
        <w:rPr>
          <w:b/>
          <w:lang w:val="pt-BR"/>
        </w:rPr>
      </w:pPr>
      <w:r>
        <w:rPr>
          <w:b/>
          <w:lang w:val="pt-BR"/>
        </w:rPr>
        <w:t xml:space="preserve">1. Nguồn nhân lực </w:t>
      </w:r>
    </w:p>
    <w:p>
      <w:pPr>
        <w:spacing w:after="120"/>
        <w:ind w:firstLine="720"/>
        <w:jc w:val="both"/>
        <w:rPr>
          <w:lang w:val="pt-BR"/>
        </w:rPr>
      </w:pPr>
      <w:r>
        <w:rPr>
          <w:lang w:val="pt-BR"/>
        </w:rPr>
        <w:t>Việc ban hành Quyết định sẽ không làm tăng biên chế, không tạo ra thêm yêu cầu bổ sung nguồn nhân lực cho bộ máy các cơ quan, đơn vị.</w:t>
      </w:r>
    </w:p>
    <w:p>
      <w:pPr>
        <w:spacing w:after="120"/>
        <w:ind w:firstLine="720"/>
        <w:jc w:val="both"/>
        <w:rPr>
          <w:b/>
          <w:lang w:val="pt-BR"/>
        </w:rPr>
      </w:pPr>
      <w:r>
        <w:rPr>
          <w:b/>
          <w:lang w:val="pt-BR"/>
        </w:rPr>
        <w:t>2. Nguồn kinh phí</w:t>
      </w:r>
    </w:p>
    <w:p>
      <w:pPr>
        <w:spacing w:after="120"/>
        <w:ind w:firstLine="720"/>
        <w:jc w:val="both"/>
        <w:rPr>
          <w:lang w:val="pt-BR"/>
        </w:rPr>
      </w:pPr>
      <w:r>
        <w:rPr>
          <w:lang w:val="pt-BR"/>
        </w:rPr>
        <w:t>Nguồn kinh phí thực hiện từ nguồn chi thường xuyên ngân sách nhà nước theo phân cấp ngân sách hiện hành và theo quy định của pháp luật. Việc bố trí kinh phí thực hiện từ nguồn chi thường xuyên ngân sách nhà nước để thực hiện mua sắm, sửa chữa, cải tạo, nâng cấp tài sản, trang thiết bị; sửa chữa, cải tạo, nâng cấp, mở rộng, xây dựng mới hạng mục công trình trong các dự án đã đầu tư xây dựng; hoạt động quy hoạch; thuê hàng hóa, dịch vụ của các cơ quan, đơn vị được bố trí trong dự toán ngân sách hằng năm của các cấp, cơ quan, đơn vị đảm bảo phù hợp với khả năng cân đối của ngân sách các cấp.</w:t>
      </w:r>
    </w:p>
    <w:p>
      <w:pPr>
        <w:spacing w:after="120"/>
        <w:ind w:firstLine="720"/>
        <w:jc w:val="both"/>
        <w:rPr>
          <w:b/>
        </w:rPr>
      </w:pPr>
      <w:r>
        <w:rPr>
          <w:b/>
        </w:rPr>
        <w:t xml:space="preserve">3. Thời gian trình ban hành: </w:t>
      </w:r>
    </w:p>
    <w:p>
      <w:pPr>
        <w:spacing w:after="120"/>
        <w:ind w:firstLine="720"/>
        <w:jc w:val="both"/>
      </w:pPr>
      <w:r>
        <w:t>Sở Tài chính dự kiến trình Ủy ban nhân dân tỉnh ban hành Quyết định trong quý II năm 2026 (đầu tháng 6/2026).</w:t>
      </w:r>
    </w:p>
    <w:p>
      <w:pPr>
        <w:spacing w:after="120"/>
        <w:ind w:firstLine="720"/>
        <w:jc w:val="both"/>
      </w:pPr>
      <w:r>
        <w:t>Trên đây là Tờ trình về dự thảo Quyết định quy định thẩm quyền quyết định phê duyệt chủ trương và dự kiến kinh phí, chi phí thực hiện một số nhiệm vụ quy định tại Nghị định số 104/2026/NĐ-CP ngày 31/3/2026 của Chính phủ thuộc phạm vi quản lý của tỉnh Quảng Trị.</w:t>
      </w:r>
    </w:p>
    <w:p>
      <w:pPr>
        <w:spacing w:after="120"/>
        <w:ind w:firstLine="720"/>
        <w:jc w:val="both"/>
        <w:rPr>
          <w:i/>
        </w:rPr>
      </w:pPr>
      <w:r>
        <w:rPr>
          <w:i/>
        </w:rPr>
        <w:t xml:space="preserve"> (Kèm theo: Dự thảo Quyết định; Bản thuyết minh, so sánh; Báo cáo thẩm định của Sở Tư pháp; Báo cáo giải trình, tiếp thu ý kiến thẩm định; Bản tổng hợp, giải trình, tiếp thu ý kiến góp ý)</w:t>
      </w:r>
    </w:p>
    <w:p>
      <w:pPr>
        <w:spacing w:after="120"/>
        <w:ind w:firstLine="720"/>
        <w:jc w:val="both"/>
      </w:pPr>
      <w:r>
        <w:t>Sở Tài chính kính trình UBND tỉnh xem xét, quyết định./.</w:t>
      </w:r>
    </w:p>
    <w:p>
      <w:pPr>
        <w:spacing w:after="120"/>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tc>
          <w:tcPr>
            <w:tcW w:w="4531" w:type="dxa"/>
          </w:tcPr>
          <w:p>
            <w:pPr>
              <w:rPr>
                <w:b/>
                <w:i/>
                <w:sz w:val="24"/>
              </w:rPr>
            </w:pPr>
            <w:r>
              <w:rPr>
                <w:b/>
                <w:i/>
                <w:sz w:val="24"/>
              </w:rPr>
              <w:t>Nơi nhận:</w:t>
            </w:r>
          </w:p>
          <w:p>
            <w:pPr>
              <w:rPr>
                <w:sz w:val="22"/>
              </w:rPr>
            </w:pPr>
            <w:r>
              <w:rPr>
                <w:sz w:val="22"/>
              </w:rPr>
              <w:t>- Như trên;</w:t>
            </w:r>
          </w:p>
          <w:p>
            <w:pPr>
              <w:rPr>
                <w:sz w:val="22"/>
              </w:rPr>
            </w:pPr>
            <w:r>
              <w:rPr>
                <w:sz w:val="22"/>
              </w:rPr>
              <w:t>- Sở Tư pháp;</w:t>
            </w:r>
          </w:p>
          <w:p>
            <w:pPr>
              <w:rPr>
                <w:sz w:val="22"/>
              </w:rPr>
            </w:pPr>
            <w:r>
              <w:rPr>
                <w:sz w:val="22"/>
              </w:rPr>
              <w:t>- Ban Giám đốc Sở (b/c);</w:t>
            </w:r>
          </w:p>
          <w:p>
            <w:pPr>
              <w:rPr>
                <w:sz w:val="22"/>
              </w:rPr>
            </w:pPr>
            <w:r>
              <w:rPr>
                <w:sz w:val="22"/>
              </w:rPr>
              <w:t>- Các Phòng liên quan;</w:t>
            </w:r>
          </w:p>
          <w:p>
            <w:pPr>
              <w:spacing w:after="120"/>
              <w:jc w:val="both"/>
            </w:pPr>
            <w:r>
              <w:rPr>
                <w:sz w:val="22"/>
              </w:rPr>
              <w:t>- Lưu: VT, TCHCSN.</w:t>
            </w:r>
          </w:p>
        </w:tc>
        <w:tc>
          <w:tcPr>
            <w:tcW w:w="4531" w:type="dxa"/>
          </w:tcPr>
          <w:p>
            <w:pPr>
              <w:spacing w:after="120"/>
              <w:jc w:val="center"/>
              <w:rPr>
                <w:b/>
              </w:rPr>
            </w:pPr>
            <w:r>
              <w:rPr>
                <w:b/>
              </w:rPr>
              <w:t>GIÁM ĐỐC</w:t>
            </w:r>
          </w:p>
          <w:p>
            <w:pPr>
              <w:spacing w:after="120"/>
              <w:jc w:val="center"/>
              <w:rPr>
                <w:b/>
              </w:rPr>
            </w:pPr>
          </w:p>
          <w:p>
            <w:pPr>
              <w:spacing w:after="120"/>
              <w:jc w:val="center"/>
              <w:rPr>
                <w:b/>
              </w:rPr>
            </w:pPr>
          </w:p>
          <w:p>
            <w:pPr>
              <w:spacing w:after="120"/>
              <w:jc w:val="center"/>
              <w:rPr>
                <w:b/>
              </w:rPr>
            </w:pPr>
          </w:p>
          <w:p>
            <w:pPr>
              <w:spacing w:after="120"/>
              <w:jc w:val="center"/>
              <w:rPr>
                <w:b/>
              </w:rPr>
            </w:pPr>
            <w:r>
              <w:rPr>
                <w:b/>
              </w:rPr>
              <w:t>Nguyễn Xuân Đạt</w:t>
            </w:r>
          </w:p>
        </w:tc>
      </w:tr>
    </w:tbl>
    <w:p>
      <w:pPr>
        <w:spacing w:after="120"/>
        <w:ind w:firstLine="720"/>
        <w:jc w:val="both"/>
      </w:pPr>
    </w:p>
    <w:p>
      <w:r>
        <w:tab/>
      </w:r>
    </w:p>
    <w:p>
      <w:r>
        <w:t xml:space="preserve">   </w:t>
      </w:r>
    </w:p>
    <w:sectPr>
      <w:headerReference w:type="default" r:id="rId8"/>
      <w:pgSz w:w="11907" w:h="16839" w:code="9"/>
      <w:pgMar w:top="1134" w:right="1134" w:bottom="810"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pPr>
    <w:r>
      <w:fldChar w:fldCharType="begin"/>
    </w:r>
    <w:r>
      <w:instrText xml:space="preserve"> PAGE   \* MERGEFORMAT </w:instrText>
    </w:r>
    <w:r>
      <w:fldChar w:fldCharType="separate"/>
    </w:r>
    <w:r>
      <w:rPr>
        <w:noProof/>
      </w:rPr>
      <w:t>9</w:t>
    </w:r>
    <w:r>
      <w:rPr>
        <w:noProof/>
      </w:rPr>
      <w:fldChar w:fldCharType="end"/>
    </w:r>
  </w:p>
  <w:p>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2275"/>
    <w:multiLevelType w:val="hybridMultilevel"/>
    <w:tmpl w:val="B6AEB44A"/>
    <w:lvl w:ilvl="0" w:tplc="3294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781E11"/>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1DE10247"/>
    <w:multiLevelType w:val="hybridMultilevel"/>
    <w:tmpl w:val="FD94B7BC"/>
    <w:lvl w:ilvl="0" w:tplc="A5AC4E7A">
      <w:start w:val="1"/>
      <w:numFmt w:val="decimal"/>
      <w:lvlText w:val="%1."/>
      <w:lvlJc w:val="left"/>
      <w:pPr>
        <w:ind w:left="1080" w:hanging="360"/>
      </w:pPr>
      <w:rPr>
        <w:rFonts w:eastAsia="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47621C"/>
    <w:multiLevelType w:val="hybridMultilevel"/>
    <w:tmpl w:val="C364653C"/>
    <w:lvl w:ilvl="0" w:tplc="0DEC5BA8">
      <w:start w:val="2"/>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9937AC"/>
    <w:multiLevelType w:val="hybridMultilevel"/>
    <w:tmpl w:val="E55CB010"/>
    <w:lvl w:ilvl="0" w:tplc="CE669A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CEF237C"/>
    <w:multiLevelType w:val="hybridMultilevel"/>
    <w:tmpl w:val="454E3290"/>
    <w:lvl w:ilvl="0" w:tplc="B48E2DD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6483010"/>
    <w:multiLevelType w:val="hybridMultilevel"/>
    <w:tmpl w:val="187817C0"/>
    <w:lvl w:ilvl="0" w:tplc="88EAFB60">
      <w:start w:val="1"/>
      <w:numFmt w:val="bullet"/>
      <w:lvlText w:val="•"/>
      <w:lvlJc w:val="left"/>
      <w:pPr>
        <w:tabs>
          <w:tab w:val="num" w:pos="720"/>
        </w:tabs>
        <w:ind w:left="720" w:hanging="360"/>
      </w:pPr>
      <w:rPr>
        <w:rFonts w:ascii="Arial" w:hAnsi="Arial" w:hint="default"/>
      </w:rPr>
    </w:lvl>
    <w:lvl w:ilvl="1" w:tplc="4246E2E0" w:tentative="1">
      <w:start w:val="1"/>
      <w:numFmt w:val="bullet"/>
      <w:lvlText w:val="•"/>
      <w:lvlJc w:val="left"/>
      <w:pPr>
        <w:tabs>
          <w:tab w:val="num" w:pos="1440"/>
        </w:tabs>
        <w:ind w:left="1440" w:hanging="360"/>
      </w:pPr>
      <w:rPr>
        <w:rFonts w:ascii="Arial" w:hAnsi="Arial" w:hint="default"/>
      </w:rPr>
    </w:lvl>
    <w:lvl w:ilvl="2" w:tplc="45CC1384" w:tentative="1">
      <w:start w:val="1"/>
      <w:numFmt w:val="bullet"/>
      <w:lvlText w:val="•"/>
      <w:lvlJc w:val="left"/>
      <w:pPr>
        <w:tabs>
          <w:tab w:val="num" w:pos="2160"/>
        </w:tabs>
        <w:ind w:left="2160" w:hanging="360"/>
      </w:pPr>
      <w:rPr>
        <w:rFonts w:ascii="Arial" w:hAnsi="Arial" w:hint="default"/>
      </w:rPr>
    </w:lvl>
    <w:lvl w:ilvl="3" w:tplc="2BB4151C" w:tentative="1">
      <w:start w:val="1"/>
      <w:numFmt w:val="bullet"/>
      <w:lvlText w:val="•"/>
      <w:lvlJc w:val="left"/>
      <w:pPr>
        <w:tabs>
          <w:tab w:val="num" w:pos="2880"/>
        </w:tabs>
        <w:ind w:left="2880" w:hanging="360"/>
      </w:pPr>
      <w:rPr>
        <w:rFonts w:ascii="Arial" w:hAnsi="Arial" w:hint="default"/>
      </w:rPr>
    </w:lvl>
    <w:lvl w:ilvl="4" w:tplc="2D9C04C6" w:tentative="1">
      <w:start w:val="1"/>
      <w:numFmt w:val="bullet"/>
      <w:lvlText w:val="•"/>
      <w:lvlJc w:val="left"/>
      <w:pPr>
        <w:tabs>
          <w:tab w:val="num" w:pos="3600"/>
        </w:tabs>
        <w:ind w:left="3600" w:hanging="360"/>
      </w:pPr>
      <w:rPr>
        <w:rFonts w:ascii="Arial" w:hAnsi="Arial" w:hint="default"/>
      </w:rPr>
    </w:lvl>
    <w:lvl w:ilvl="5" w:tplc="9BEE8142" w:tentative="1">
      <w:start w:val="1"/>
      <w:numFmt w:val="bullet"/>
      <w:lvlText w:val="•"/>
      <w:lvlJc w:val="left"/>
      <w:pPr>
        <w:tabs>
          <w:tab w:val="num" w:pos="4320"/>
        </w:tabs>
        <w:ind w:left="4320" w:hanging="360"/>
      </w:pPr>
      <w:rPr>
        <w:rFonts w:ascii="Arial" w:hAnsi="Arial" w:hint="default"/>
      </w:rPr>
    </w:lvl>
    <w:lvl w:ilvl="6" w:tplc="640211D8" w:tentative="1">
      <w:start w:val="1"/>
      <w:numFmt w:val="bullet"/>
      <w:lvlText w:val="•"/>
      <w:lvlJc w:val="left"/>
      <w:pPr>
        <w:tabs>
          <w:tab w:val="num" w:pos="5040"/>
        </w:tabs>
        <w:ind w:left="5040" w:hanging="360"/>
      </w:pPr>
      <w:rPr>
        <w:rFonts w:ascii="Arial" w:hAnsi="Arial" w:hint="default"/>
      </w:rPr>
    </w:lvl>
    <w:lvl w:ilvl="7" w:tplc="D368CC7A" w:tentative="1">
      <w:start w:val="1"/>
      <w:numFmt w:val="bullet"/>
      <w:lvlText w:val="•"/>
      <w:lvlJc w:val="left"/>
      <w:pPr>
        <w:tabs>
          <w:tab w:val="num" w:pos="5760"/>
        </w:tabs>
        <w:ind w:left="5760" w:hanging="360"/>
      </w:pPr>
      <w:rPr>
        <w:rFonts w:ascii="Arial" w:hAnsi="Arial" w:hint="default"/>
      </w:rPr>
    </w:lvl>
    <w:lvl w:ilvl="8" w:tplc="05D4E7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F901FD"/>
    <w:multiLevelType w:val="hybridMultilevel"/>
    <w:tmpl w:val="15E68664"/>
    <w:lvl w:ilvl="0" w:tplc="7AD48620">
      <w:start w:val="1"/>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5AF16A2"/>
    <w:multiLevelType w:val="hybridMultilevel"/>
    <w:tmpl w:val="13888D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7444A8E"/>
    <w:multiLevelType w:val="hybridMultilevel"/>
    <w:tmpl w:val="232A58C6"/>
    <w:lvl w:ilvl="0" w:tplc="3F3A23D6">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0" w15:restartNumberingAfterBreak="0">
    <w:nsid w:val="7A8A4ECA"/>
    <w:multiLevelType w:val="hybridMultilevel"/>
    <w:tmpl w:val="281868AE"/>
    <w:lvl w:ilvl="0" w:tplc="52F60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0"/>
  </w:num>
  <w:num w:numId="3">
    <w:abstractNumId w:val="3"/>
  </w:num>
  <w:num w:numId="4">
    <w:abstractNumId w:val="8"/>
  </w:num>
  <w:num w:numId="5">
    <w:abstractNumId w:val="4"/>
  </w:num>
  <w:num w:numId="6">
    <w:abstractNumId w:val="9"/>
  </w:num>
  <w:num w:numId="7">
    <w:abstractNumId w:val="1"/>
  </w:num>
  <w:num w:numId="8">
    <w:abstractNumId w:val="6"/>
  </w:num>
  <w:num w:numId="9">
    <w:abstractNumId w:val="7"/>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DE97B0-2B4A-4BC2-8471-00A96857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8"/>
      <w:szCs w:val="28"/>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pPr>
      <w:outlineLvl w:val="0"/>
    </w:pPr>
    <w:rPr>
      <w:rFonts w:ascii="Times New Roman" w:eastAsia="Arial Unicode MS" w:hAnsi="Times New Roman"/>
      <w:color w:val="000000"/>
      <w:sz w:val="24"/>
      <w:u w:color="000000"/>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table" w:styleId="TableGrid">
    <w:name w:val="Table Grid"/>
    <w:basedOn w:val="TableNormal"/>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Char1CharCharCharCharCharCharCharCharCharCharCharCharCharCharCharChar1CharChar">
    <w:name w:val="Char1 Char Char Char Char Char Char Char Char Char Char Char Char Char Char Char Char1 Char Char"/>
    <w:basedOn w:val="Normal"/>
    <w:pPr>
      <w:widowControl w:val="0"/>
      <w:jc w:val="both"/>
    </w:pPr>
    <w:rPr>
      <w:rFonts w:eastAsia="SimSun"/>
      <w:kern w:val="2"/>
      <w:sz w:val="24"/>
      <w:szCs w:val="26"/>
      <w:lang w:eastAsia="zh-CN"/>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8"/>
      <w:szCs w:val="28"/>
    </w:rPr>
  </w:style>
  <w:style w:type="paragraph" w:styleId="NormalWeb">
    <w:name w:val="Normal (Web)"/>
    <w:basedOn w:val="Normal"/>
    <w:uiPriority w:val="99"/>
    <w:unhideWhenUsed/>
    <w:pPr>
      <w:spacing w:before="100" w:beforeAutospacing="1" w:after="100" w:afterAutospacing="1"/>
    </w:pPr>
    <w:rPr>
      <w:sz w:val="24"/>
      <w:szCs w:val="24"/>
    </w:rPr>
  </w:style>
  <w:style w:type="paragraph" w:styleId="BodyTextIndent">
    <w:name w:val="Body Text Indent"/>
    <w:basedOn w:val="Normal"/>
    <w:link w:val="BodyTextIndentChar"/>
    <w:pPr>
      <w:spacing w:after="120"/>
      <w:ind w:left="283"/>
    </w:pPr>
    <w:rPr>
      <w:rFonts w:ascii=".VnTime" w:hAnsi=".VnTime"/>
    </w:rPr>
  </w:style>
  <w:style w:type="character" w:customStyle="1" w:styleId="BodyTextIndentChar">
    <w:name w:val="Body Text Indent Char"/>
    <w:basedOn w:val="DefaultParagraphFont"/>
    <w:link w:val="BodyTextIndent"/>
    <w:rPr>
      <w:rFonts w:ascii=".VnTime" w:eastAsia="Times New Roman"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qFormat/>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VnTime" w:eastAsia="Times New Roman" w:hAnsi=".VnTime"/>
    </w:rPr>
  </w:style>
  <w:style w:type="character" w:styleId="FootnoteReference">
    <w:name w:val="footnote reference"/>
    <w:aliases w:val="Footnote,Footnote text,SUPERS,Footnote dich,ftref,(NECG) Footnote Reference,16 Point,Superscript 6 Point,Footnote + Arial,10 pt,Black,fr,BVI fnr,footnote ref,Footnote Reference Number,Знак сноски 1,Ref,de nota al pie,R,f,BearingPoint"/>
    <w:link w:val="CharChar1CharCharCharChar1CharCharCharCharCharCharCharChar"/>
    <w:uiPriority w:val="99"/>
    <w:qFormat/>
    <w:rPr>
      <w:vertAlign w:val="superscript"/>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rPr>
  </w:style>
  <w:style w:type="paragraph" w:styleId="Revision">
    <w:name w:val="Revision"/>
    <w:hidden/>
    <w:uiPriority w:val="99"/>
    <w:semiHidden/>
    <w:rPr>
      <w:rFonts w:ascii="Times New Roman" w:eastAsia="Times New Roman" w:hAnsi="Times New Roman"/>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rFonts w:ascii="Calibri" w:eastAsia="Calibri" w:hAnsi="Calibri"/>
      <w:sz w:val="20"/>
      <w:szCs w:val="20"/>
      <w:vertAlign w:val="superscript"/>
    </w:rPr>
  </w:style>
  <w:style w:type="character" w:customStyle="1" w:styleId="fontstyle21">
    <w:name w:val="fontstyle21"/>
    <w:basedOn w:val="DefaultParagraphFont"/>
    <w:rPr>
      <w:rFonts w:ascii="Times New Roman" w:hAnsi="Times New Roman" w:cs="Times New Roman" w:hint="default"/>
      <w:b/>
      <w:bCs/>
      <w:i w:val="0"/>
      <w:iCs w:val="0"/>
      <w:color w:val="000000"/>
      <w:sz w:val="26"/>
      <w:szCs w:val="26"/>
    </w:rPr>
  </w:style>
  <w:style w:type="paragraph" w:customStyle="1" w:styleId="CharCharChar1CharCharCharCharCharChar1Char">
    <w:name w:val="Char Char Char1 Char Char Char Char Char Char1 Char"/>
    <w:basedOn w:val="Normal"/>
    <w:pPr>
      <w:spacing w:after="160" w:line="240" w:lineRule="exact"/>
    </w:pPr>
    <w:rPr>
      <w:rFonts w:ascii="Verdana" w:hAnsi="Verdana"/>
      <w:sz w:val="20"/>
      <w:szCs w:val="20"/>
      <w:lang w:val="en-GB"/>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8"/>
      <w:szCs w:val="28"/>
    </w:rPr>
  </w:style>
  <w:style w:type="character" w:customStyle="1" w:styleId="FootnoteTextChar1">
    <w:name w:val="Footnote Text Char1"/>
    <w:aliases w:val="Footnote Text Char Tegn Char Char1"/>
    <w:uiPriority w:val="99"/>
    <w:semiHidden/>
    <w:locked/>
    <w:rPr>
      <w:rFonts w:ascii=".VnTime" w:hAnsi=".VnTime"/>
      <w:lang w:val="en-US" w:eastAsia="en-US"/>
    </w:rPr>
  </w:style>
  <w:style w:type="character" w:customStyle="1" w:styleId="normal-h1">
    <w:name w:val="normal-h1"/>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636">
      <w:bodyDiv w:val="1"/>
      <w:marLeft w:val="0"/>
      <w:marRight w:val="0"/>
      <w:marTop w:val="0"/>
      <w:marBottom w:val="0"/>
      <w:divBdr>
        <w:top w:val="none" w:sz="0" w:space="0" w:color="auto"/>
        <w:left w:val="none" w:sz="0" w:space="0" w:color="auto"/>
        <w:bottom w:val="none" w:sz="0" w:space="0" w:color="auto"/>
        <w:right w:val="none" w:sz="0" w:space="0" w:color="auto"/>
      </w:divBdr>
    </w:div>
    <w:div w:id="170263851">
      <w:bodyDiv w:val="1"/>
      <w:marLeft w:val="0"/>
      <w:marRight w:val="0"/>
      <w:marTop w:val="0"/>
      <w:marBottom w:val="0"/>
      <w:divBdr>
        <w:top w:val="none" w:sz="0" w:space="0" w:color="auto"/>
        <w:left w:val="none" w:sz="0" w:space="0" w:color="auto"/>
        <w:bottom w:val="none" w:sz="0" w:space="0" w:color="auto"/>
        <w:right w:val="none" w:sz="0" w:space="0" w:color="auto"/>
      </w:divBdr>
    </w:div>
    <w:div w:id="487290315">
      <w:bodyDiv w:val="1"/>
      <w:marLeft w:val="0"/>
      <w:marRight w:val="0"/>
      <w:marTop w:val="0"/>
      <w:marBottom w:val="0"/>
      <w:divBdr>
        <w:top w:val="none" w:sz="0" w:space="0" w:color="auto"/>
        <w:left w:val="none" w:sz="0" w:space="0" w:color="auto"/>
        <w:bottom w:val="none" w:sz="0" w:space="0" w:color="auto"/>
        <w:right w:val="none" w:sz="0" w:space="0" w:color="auto"/>
      </w:divBdr>
    </w:div>
    <w:div w:id="53978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3352">
          <w:marLeft w:val="547"/>
          <w:marRight w:val="0"/>
          <w:marTop w:val="106"/>
          <w:marBottom w:val="0"/>
          <w:divBdr>
            <w:top w:val="none" w:sz="0" w:space="0" w:color="auto"/>
            <w:left w:val="none" w:sz="0" w:space="0" w:color="auto"/>
            <w:bottom w:val="none" w:sz="0" w:space="0" w:color="auto"/>
            <w:right w:val="none" w:sz="0" w:space="0" w:color="auto"/>
          </w:divBdr>
        </w:div>
        <w:div w:id="1872571808">
          <w:marLeft w:val="547"/>
          <w:marRight w:val="0"/>
          <w:marTop w:val="106"/>
          <w:marBottom w:val="0"/>
          <w:divBdr>
            <w:top w:val="none" w:sz="0" w:space="0" w:color="auto"/>
            <w:left w:val="none" w:sz="0" w:space="0" w:color="auto"/>
            <w:bottom w:val="none" w:sz="0" w:space="0" w:color="auto"/>
            <w:right w:val="none" w:sz="0" w:space="0" w:color="auto"/>
          </w:divBdr>
        </w:div>
        <w:div w:id="316806497">
          <w:marLeft w:val="547"/>
          <w:marRight w:val="0"/>
          <w:marTop w:val="106"/>
          <w:marBottom w:val="0"/>
          <w:divBdr>
            <w:top w:val="none" w:sz="0" w:space="0" w:color="auto"/>
            <w:left w:val="none" w:sz="0" w:space="0" w:color="auto"/>
            <w:bottom w:val="none" w:sz="0" w:space="0" w:color="auto"/>
            <w:right w:val="none" w:sz="0" w:space="0" w:color="auto"/>
          </w:divBdr>
        </w:div>
        <w:div w:id="1684817466">
          <w:marLeft w:val="547"/>
          <w:marRight w:val="0"/>
          <w:marTop w:val="106"/>
          <w:marBottom w:val="0"/>
          <w:divBdr>
            <w:top w:val="none" w:sz="0" w:space="0" w:color="auto"/>
            <w:left w:val="none" w:sz="0" w:space="0" w:color="auto"/>
            <w:bottom w:val="none" w:sz="0" w:space="0" w:color="auto"/>
            <w:right w:val="none" w:sz="0" w:space="0" w:color="auto"/>
          </w:divBdr>
        </w:div>
        <w:div w:id="1636713774">
          <w:marLeft w:val="547"/>
          <w:marRight w:val="0"/>
          <w:marTop w:val="106"/>
          <w:marBottom w:val="0"/>
          <w:divBdr>
            <w:top w:val="none" w:sz="0" w:space="0" w:color="auto"/>
            <w:left w:val="none" w:sz="0" w:space="0" w:color="auto"/>
            <w:bottom w:val="none" w:sz="0" w:space="0" w:color="auto"/>
            <w:right w:val="none" w:sz="0" w:space="0" w:color="auto"/>
          </w:divBdr>
        </w:div>
      </w:divsChild>
    </w:div>
    <w:div w:id="731781391">
      <w:bodyDiv w:val="1"/>
      <w:marLeft w:val="0"/>
      <w:marRight w:val="0"/>
      <w:marTop w:val="0"/>
      <w:marBottom w:val="0"/>
      <w:divBdr>
        <w:top w:val="none" w:sz="0" w:space="0" w:color="auto"/>
        <w:left w:val="none" w:sz="0" w:space="0" w:color="auto"/>
        <w:bottom w:val="none" w:sz="0" w:space="0" w:color="auto"/>
        <w:right w:val="none" w:sz="0" w:space="0" w:color="auto"/>
      </w:divBdr>
    </w:div>
    <w:div w:id="1038311870">
      <w:bodyDiv w:val="1"/>
      <w:marLeft w:val="0"/>
      <w:marRight w:val="0"/>
      <w:marTop w:val="0"/>
      <w:marBottom w:val="0"/>
      <w:divBdr>
        <w:top w:val="none" w:sz="0" w:space="0" w:color="auto"/>
        <w:left w:val="none" w:sz="0" w:space="0" w:color="auto"/>
        <w:bottom w:val="none" w:sz="0" w:space="0" w:color="auto"/>
        <w:right w:val="none" w:sz="0" w:space="0" w:color="auto"/>
      </w:divBdr>
    </w:div>
    <w:div w:id="1259216636">
      <w:bodyDiv w:val="1"/>
      <w:marLeft w:val="0"/>
      <w:marRight w:val="0"/>
      <w:marTop w:val="0"/>
      <w:marBottom w:val="0"/>
      <w:divBdr>
        <w:top w:val="none" w:sz="0" w:space="0" w:color="auto"/>
        <w:left w:val="none" w:sz="0" w:space="0" w:color="auto"/>
        <w:bottom w:val="none" w:sz="0" w:space="0" w:color="auto"/>
        <w:right w:val="none" w:sz="0" w:space="0" w:color="auto"/>
      </w:divBdr>
    </w:div>
    <w:div w:id="1487739851">
      <w:bodyDiv w:val="1"/>
      <w:marLeft w:val="0"/>
      <w:marRight w:val="0"/>
      <w:marTop w:val="0"/>
      <w:marBottom w:val="0"/>
      <w:divBdr>
        <w:top w:val="none" w:sz="0" w:space="0" w:color="auto"/>
        <w:left w:val="none" w:sz="0" w:space="0" w:color="auto"/>
        <w:bottom w:val="none" w:sz="0" w:space="0" w:color="auto"/>
        <w:right w:val="none" w:sz="0" w:space="0" w:color="auto"/>
      </w:divBdr>
    </w:div>
    <w:div w:id="203280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4CB5F-B3C4-46B7-B2AD-475F1B560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3211</Words>
  <Characters>18306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TIEN TRAN</dc:creator>
  <cp:lastModifiedBy>dell</cp:lastModifiedBy>
  <cp:revision>5</cp:revision>
  <cp:lastPrinted>2026-05-11T23:47:00Z</cp:lastPrinted>
  <dcterms:created xsi:type="dcterms:W3CDTF">2026-05-25T08:55:00Z</dcterms:created>
  <dcterms:modified xsi:type="dcterms:W3CDTF">2026-05-25T11:02:00Z</dcterms:modified>
  <cp:contentStatus/>
</cp:coreProperties>
</file>